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113A97">
      <w:pPr>
        <w:spacing w:before="161" w:line="224" w:lineRule="auto"/>
        <w:ind w:left="2634"/>
        <w:outlineLvl w:val="0"/>
        <w:rPr>
          <w:rFonts w:hint="eastAsia" w:ascii="黑体" w:hAnsi="黑体" w:eastAsia="黑体" w:cs="黑体"/>
          <w:sz w:val="32"/>
          <w:szCs w:val="32"/>
          <w:lang w:eastAsia="zh-CN"/>
        </w:rPr>
      </w:pPr>
      <w:r>
        <w:rPr>
          <w:rFonts w:ascii="黑体" w:hAnsi="黑体" w:eastAsia="黑体" w:cs="黑体"/>
          <w:sz w:val="32"/>
          <w:szCs w:val="32"/>
          <w:lang w:eastAsia="zh-CN"/>
        </w:rPr>
        <w:t>CCAA</w:t>
      </w:r>
      <w:r>
        <w:rPr>
          <w:rFonts w:ascii="黑体" w:hAnsi="黑体" w:eastAsia="黑体" w:cs="黑体"/>
          <w:spacing w:val="-39"/>
          <w:sz w:val="32"/>
          <w:szCs w:val="32"/>
          <w:lang w:eastAsia="zh-CN"/>
        </w:rPr>
        <w:t xml:space="preserve"> </w:t>
      </w:r>
      <w:r>
        <w:rPr>
          <w:rFonts w:ascii="黑体" w:hAnsi="黑体" w:eastAsia="黑体" w:cs="黑体"/>
          <w:spacing w:val="7"/>
          <w:sz w:val="32"/>
          <w:szCs w:val="32"/>
          <w:lang w:eastAsia="zh-CN"/>
        </w:rPr>
        <w:t>团体标准草案编制说明</w:t>
      </w:r>
    </w:p>
    <w:p w14:paraId="6C019EFA">
      <w:pPr>
        <w:spacing w:before="166"/>
        <w:rPr>
          <w:lang w:eastAsia="zh-CN"/>
        </w:rPr>
      </w:pPr>
    </w:p>
    <w:tbl>
      <w:tblPr>
        <w:tblStyle w:val="6"/>
        <w:tblW w:w="92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38"/>
        <w:gridCol w:w="170"/>
        <w:gridCol w:w="538"/>
        <w:gridCol w:w="3572"/>
        <w:gridCol w:w="1274"/>
        <w:gridCol w:w="2130"/>
      </w:tblGrid>
      <w:tr w14:paraId="55D93B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222" w:type="dxa"/>
            <w:gridSpan w:val="6"/>
          </w:tcPr>
          <w:p w14:paraId="153CBADC">
            <w:pPr>
              <w:pStyle w:val="7"/>
              <w:spacing w:before="176" w:line="219" w:lineRule="auto"/>
              <w:ind w:left="4055"/>
              <w:rPr>
                <w:rFonts w:hint="eastAsia"/>
                <w:sz w:val="28"/>
                <w:szCs w:val="28"/>
              </w:rPr>
            </w:pPr>
            <w:r>
              <w:rPr>
                <w:b/>
                <w:bCs/>
                <w:spacing w:val="-5"/>
                <w:sz w:val="28"/>
                <w:szCs w:val="28"/>
              </w:rPr>
              <w:t>基本信息</w:t>
            </w:r>
          </w:p>
        </w:tc>
      </w:tr>
      <w:tr w14:paraId="0992A5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538" w:type="dxa"/>
            <w:vMerge w:val="restart"/>
            <w:tcBorders>
              <w:bottom w:val="nil"/>
            </w:tcBorders>
          </w:tcPr>
          <w:p w14:paraId="09DBC651">
            <w:pPr>
              <w:pStyle w:val="7"/>
              <w:spacing w:before="51" w:line="221" w:lineRule="auto"/>
              <w:ind w:left="116"/>
              <w:rPr>
                <w:rFonts w:hint="eastAsia"/>
              </w:rPr>
            </w:pPr>
            <w:r>
              <w:rPr>
                <w:spacing w:val="-1"/>
              </w:rPr>
              <w:t>标准草案名称</w:t>
            </w:r>
          </w:p>
        </w:tc>
        <w:tc>
          <w:tcPr>
            <w:tcW w:w="708" w:type="dxa"/>
            <w:gridSpan w:val="2"/>
          </w:tcPr>
          <w:p w14:paraId="4F53CA25">
            <w:pPr>
              <w:pStyle w:val="7"/>
              <w:spacing w:before="51" w:line="221" w:lineRule="auto"/>
              <w:ind w:left="167"/>
              <w:rPr>
                <w:rFonts w:hint="eastAsia"/>
              </w:rPr>
            </w:pPr>
            <w:r>
              <w:rPr>
                <w:spacing w:val="-7"/>
              </w:rPr>
              <w:t>中文</w:t>
            </w:r>
          </w:p>
        </w:tc>
        <w:tc>
          <w:tcPr>
            <w:tcW w:w="6976" w:type="dxa"/>
            <w:gridSpan w:val="3"/>
          </w:tcPr>
          <w:p w14:paraId="5C7EDA89">
            <w:pPr>
              <w:pStyle w:val="7"/>
              <w:spacing w:before="51" w:line="219" w:lineRule="auto"/>
              <w:ind w:left="112"/>
              <w:rPr>
                <w:rFonts w:hint="eastAsia"/>
                <w:lang w:eastAsia="zh-CN"/>
              </w:rPr>
            </w:pPr>
            <w:r>
              <w:rPr>
                <w:rFonts w:hint="eastAsia"/>
                <w:spacing w:val="-1"/>
                <w:lang w:eastAsia="zh-CN"/>
              </w:rPr>
              <w:t>生态产品评价 第4部分：文化服务类产品</w:t>
            </w:r>
          </w:p>
        </w:tc>
      </w:tr>
      <w:tr w14:paraId="02AC7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538" w:type="dxa"/>
            <w:vMerge w:val="continue"/>
            <w:tcBorders>
              <w:top w:val="nil"/>
            </w:tcBorders>
          </w:tcPr>
          <w:p w14:paraId="59E77A4E">
            <w:pPr>
              <w:rPr>
                <w:lang w:eastAsia="zh-CN"/>
              </w:rPr>
            </w:pPr>
          </w:p>
        </w:tc>
        <w:tc>
          <w:tcPr>
            <w:tcW w:w="708" w:type="dxa"/>
            <w:gridSpan w:val="2"/>
          </w:tcPr>
          <w:p w14:paraId="204BE41F">
            <w:pPr>
              <w:pStyle w:val="7"/>
              <w:spacing w:before="51" w:line="221" w:lineRule="auto"/>
              <w:ind w:left="148"/>
              <w:rPr>
                <w:rFonts w:hint="eastAsia"/>
              </w:rPr>
            </w:pPr>
            <w:r>
              <w:rPr>
                <w:spacing w:val="-2"/>
              </w:rPr>
              <w:t>英文</w:t>
            </w:r>
          </w:p>
        </w:tc>
        <w:tc>
          <w:tcPr>
            <w:tcW w:w="6976" w:type="dxa"/>
            <w:gridSpan w:val="3"/>
          </w:tcPr>
          <w:p w14:paraId="1A7B2E50">
            <w:pPr>
              <w:spacing w:before="86" w:line="191" w:lineRule="auto"/>
              <w:ind w:left="111"/>
              <w:rPr>
                <w:rFonts w:ascii="Times New Roman" w:hAnsi="Times New Roman" w:eastAsia="Times New Roman" w:cs="Times New Roman"/>
              </w:rPr>
            </w:pPr>
            <w:r>
              <w:rPr>
                <w:rFonts w:hint="eastAsia" w:ascii="Times New Roman" w:hAnsi="Times New Roman" w:eastAsia="Times New Roman" w:cs="Times New Roman"/>
              </w:rPr>
              <w:t>Evaluation of ecological product -- Part 4 : Cultural service</w:t>
            </w:r>
          </w:p>
        </w:tc>
      </w:tr>
      <w:tr w14:paraId="492689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538" w:type="dxa"/>
          </w:tcPr>
          <w:p w14:paraId="2E5BE5F9">
            <w:pPr>
              <w:pStyle w:val="7"/>
              <w:spacing w:before="208" w:line="221" w:lineRule="auto"/>
              <w:ind w:left="119"/>
              <w:rPr>
                <w:rFonts w:hint="eastAsia"/>
              </w:rPr>
            </w:pPr>
            <w:r>
              <w:rPr>
                <w:spacing w:val="-3"/>
              </w:rPr>
              <w:t>项目类型</w:t>
            </w:r>
          </w:p>
        </w:tc>
        <w:tc>
          <w:tcPr>
            <w:tcW w:w="4280" w:type="dxa"/>
            <w:gridSpan w:val="3"/>
          </w:tcPr>
          <w:p w14:paraId="1692578E">
            <w:pPr>
              <w:pStyle w:val="7"/>
              <w:spacing w:before="53" w:line="234" w:lineRule="auto"/>
              <w:ind w:left="121"/>
              <w:rPr>
                <w:rFonts w:hint="eastAsia"/>
                <w:lang w:eastAsia="zh-CN"/>
              </w:rPr>
            </w:pPr>
            <w:r>
              <w:rPr>
                <w:spacing w:val="-9"/>
              </w:rPr>
              <w:sym w:font="Wingdings 2" w:char="0052"/>
            </w:r>
            <w:r>
              <w:rPr>
                <w:spacing w:val="-9"/>
                <w:lang w:eastAsia="zh-CN"/>
              </w:rPr>
              <w:t>制定</w:t>
            </w:r>
            <w:r>
              <w:rPr>
                <w:spacing w:val="3"/>
                <w:lang w:eastAsia="zh-CN"/>
              </w:rPr>
              <w:t xml:space="preserve">    </w:t>
            </w:r>
            <w:r>
              <w:rPr>
                <w:rFonts w:hint="eastAsia"/>
                <w:spacing w:val="3"/>
                <w:lang w:eastAsia="zh-CN"/>
              </w:rPr>
              <w:t>☐</w:t>
            </w:r>
            <w:r>
              <w:rPr>
                <w:spacing w:val="-9"/>
                <w:lang w:eastAsia="zh-CN"/>
              </w:rPr>
              <w:t>修订</w:t>
            </w:r>
          </w:p>
          <w:p w14:paraId="0735A1C1">
            <w:pPr>
              <w:pStyle w:val="7"/>
              <w:spacing w:before="44" w:line="221" w:lineRule="auto"/>
              <w:ind w:left="259"/>
              <w:rPr>
                <w:rFonts w:hint="eastAsia"/>
                <w:lang w:eastAsia="zh-CN"/>
              </w:rPr>
            </w:pPr>
            <w:r>
              <w:rPr>
                <w:spacing w:val="-1"/>
                <w:lang w:eastAsia="zh-CN"/>
              </w:rPr>
              <w:t>（被修订标准名称及编号：</w:t>
            </w:r>
            <w:r>
              <w:rPr>
                <w:lang w:eastAsia="zh-CN"/>
              </w:rPr>
              <w:t xml:space="preserve">   </w:t>
            </w:r>
            <w:r>
              <w:rPr>
                <w:rFonts w:hint="eastAsia"/>
                <w:lang w:eastAsia="zh-CN"/>
              </w:rPr>
              <w:t>/</w:t>
            </w:r>
            <w:r>
              <w:rPr>
                <w:lang w:eastAsia="zh-CN"/>
              </w:rPr>
              <w:t xml:space="preserve">     </w:t>
            </w:r>
            <w:r>
              <w:rPr>
                <w:spacing w:val="-1"/>
                <w:lang w:eastAsia="zh-CN"/>
              </w:rPr>
              <w:t>）</w:t>
            </w:r>
          </w:p>
        </w:tc>
        <w:tc>
          <w:tcPr>
            <w:tcW w:w="1274" w:type="dxa"/>
          </w:tcPr>
          <w:p w14:paraId="2F8B2150">
            <w:pPr>
              <w:pStyle w:val="7"/>
              <w:spacing w:before="52" w:line="221" w:lineRule="auto"/>
              <w:ind w:left="224"/>
              <w:rPr>
                <w:rFonts w:hint="eastAsia"/>
              </w:rPr>
            </w:pPr>
            <w:r>
              <w:rPr>
                <w:spacing w:val="-2"/>
              </w:rPr>
              <w:t>计划编号</w:t>
            </w:r>
          </w:p>
        </w:tc>
        <w:tc>
          <w:tcPr>
            <w:tcW w:w="2130" w:type="dxa"/>
          </w:tcPr>
          <w:p w14:paraId="0789B662">
            <w:pPr>
              <w:spacing w:before="89" w:line="189" w:lineRule="auto"/>
              <w:ind w:left="111"/>
              <w:rPr>
                <w:rFonts w:ascii="Times New Roman" w:hAnsi="Times New Roman" w:eastAsia="宋体" w:cs="Times New Roman"/>
                <w:lang w:eastAsia="zh-CN"/>
              </w:rPr>
            </w:pPr>
            <w:r>
              <w:rPr>
                <w:rFonts w:hint="eastAsia" w:ascii="Times New Roman" w:hAnsi="Times New Roman" w:eastAsia="Times New Roman" w:cs="Times New Roman"/>
                <w:spacing w:val="-1"/>
              </w:rPr>
              <w:t>2025TB0</w:t>
            </w:r>
            <w:r>
              <w:rPr>
                <w:rFonts w:hint="eastAsia" w:ascii="Times New Roman" w:hAnsi="Times New Roman" w:eastAsia="宋体" w:cs="Times New Roman"/>
                <w:spacing w:val="-1"/>
                <w:lang w:eastAsia="zh-CN"/>
              </w:rPr>
              <w:t>20</w:t>
            </w:r>
          </w:p>
        </w:tc>
      </w:tr>
      <w:tr w14:paraId="20F0C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538" w:type="dxa"/>
          </w:tcPr>
          <w:p w14:paraId="66777F52">
            <w:pPr>
              <w:pStyle w:val="7"/>
              <w:spacing w:before="51" w:line="221" w:lineRule="auto"/>
              <w:ind w:left="116"/>
              <w:rPr>
                <w:rFonts w:hint="eastAsia"/>
              </w:rPr>
            </w:pPr>
            <w:r>
              <w:rPr>
                <w:spacing w:val="-2"/>
              </w:rPr>
              <w:t>起止时间</w:t>
            </w:r>
          </w:p>
        </w:tc>
        <w:tc>
          <w:tcPr>
            <w:tcW w:w="7684" w:type="dxa"/>
            <w:gridSpan w:val="5"/>
          </w:tcPr>
          <w:p w14:paraId="115C673A">
            <w:pPr>
              <w:pStyle w:val="7"/>
              <w:spacing w:before="51" w:line="225" w:lineRule="auto"/>
              <w:ind w:left="2477"/>
              <w:rPr>
                <w:rFonts w:hint="eastAsia"/>
              </w:rPr>
            </w:pPr>
            <w:r>
              <w:rPr>
                <w:rFonts w:ascii="Times New Roman" w:hAnsi="Times New Roman" w:eastAsia="Times New Roman" w:cs="Times New Roman"/>
                <w:spacing w:val="-3"/>
              </w:rPr>
              <w:t>202</w:t>
            </w:r>
            <w:r>
              <w:rPr>
                <w:rFonts w:hint="eastAsia" w:ascii="Times New Roman" w:hAnsi="Times New Roman" w:cs="Times New Roman"/>
                <w:spacing w:val="-3"/>
                <w:lang w:eastAsia="zh-CN"/>
              </w:rPr>
              <w:t>5</w:t>
            </w:r>
            <w:r>
              <w:rPr>
                <w:spacing w:val="-3"/>
              </w:rPr>
              <w:t>年</w:t>
            </w:r>
            <w:r>
              <w:rPr>
                <w:rFonts w:hint="eastAsia"/>
                <w:spacing w:val="-32"/>
                <w:lang w:eastAsia="zh-CN"/>
              </w:rPr>
              <w:t>1</w:t>
            </w:r>
            <w:r>
              <w:rPr>
                <w:rFonts w:ascii="Times New Roman" w:hAnsi="Times New Roman" w:eastAsia="Times New Roman" w:cs="Times New Roman"/>
                <w:spacing w:val="11"/>
              </w:rPr>
              <w:t xml:space="preserve"> </w:t>
            </w:r>
            <w:r>
              <w:rPr>
                <w:spacing w:val="-3"/>
              </w:rPr>
              <w:t>月</w:t>
            </w:r>
            <w:r>
              <w:rPr>
                <w:rFonts w:hint="eastAsia" w:ascii="Times New Roman" w:hAnsi="Times New Roman" w:cs="Times New Roman"/>
                <w:spacing w:val="-3"/>
                <w:lang w:eastAsia="zh-CN"/>
              </w:rPr>
              <w:t>--</w:t>
            </w:r>
            <w:r>
              <w:rPr>
                <w:rFonts w:ascii="Times New Roman" w:hAnsi="Times New Roman" w:eastAsia="Times New Roman" w:cs="Times New Roman"/>
                <w:spacing w:val="-3"/>
              </w:rPr>
              <w:t xml:space="preserve">  202</w:t>
            </w:r>
            <w:r>
              <w:rPr>
                <w:rFonts w:hint="eastAsia" w:ascii="Times New Roman" w:hAnsi="Times New Roman" w:cs="Times New Roman"/>
                <w:spacing w:val="-3"/>
                <w:lang w:eastAsia="zh-CN"/>
              </w:rPr>
              <w:t>5</w:t>
            </w:r>
            <w:r>
              <w:rPr>
                <w:spacing w:val="-3"/>
              </w:rPr>
              <w:t>年</w:t>
            </w:r>
            <w:r>
              <w:rPr>
                <w:spacing w:val="-30"/>
              </w:rPr>
              <w:t xml:space="preserve"> </w:t>
            </w:r>
            <w:r>
              <w:rPr>
                <w:rFonts w:ascii="Times New Roman" w:hAnsi="Times New Roman" w:eastAsia="Times New Roman" w:cs="Times New Roman"/>
                <w:spacing w:val="-3"/>
              </w:rPr>
              <w:t>12</w:t>
            </w:r>
            <w:r>
              <w:rPr>
                <w:rFonts w:ascii="Times New Roman" w:hAnsi="Times New Roman" w:eastAsia="Times New Roman" w:cs="Times New Roman"/>
                <w:spacing w:val="14"/>
              </w:rPr>
              <w:t xml:space="preserve"> </w:t>
            </w:r>
            <w:r>
              <w:rPr>
                <w:spacing w:val="-3"/>
              </w:rPr>
              <w:t>月</w:t>
            </w:r>
          </w:p>
        </w:tc>
      </w:tr>
      <w:tr w14:paraId="6D02B4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9" w:hRule="atLeast"/>
        </w:trPr>
        <w:tc>
          <w:tcPr>
            <w:tcW w:w="1538" w:type="dxa"/>
            <w:vAlign w:val="center"/>
          </w:tcPr>
          <w:p w14:paraId="5031CCB9">
            <w:pPr>
              <w:pStyle w:val="7"/>
              <w:spacing w:before="68" w:line="221" w:lineRule="auto"/>
              <w:jc w:val="center"/>
              <w:rPr>
                <w:rFonts w:hint="eastAsia"/>
              </w:rPr>
            </w:pPr>
            <w:r>
              <w:rPr>
                <w:spacing w:val="-1"/>
              </w:rPr>
              <w:t>标准起草单位</w:t>
            </w:r>
          </w:p>
        </w:tc>
        <w:tc>
          <w:tcPr>
            <w:tcW w:w="7684" w:type="dxa"/>
            <w:gridSpan w:val="5"/>
          </w:tcPr>
          <w:p w14:paraId="2187ACF3">
            <w:pPr>
              <w:pStyle w:val="7"/>
              <w:spacing w:before="50" w:line="266" w:lineRule="auto"/>
              <w:ind w:right="218"/>
              <w:jc w:val="both"/>
              <w:rPr>
                <w:rFonts w:hint="eastAsia"/>
                <w:lang w:eastAsia="zh-CN"/>
              </w:rPr>
            </w:pPr>
            <w:r>
              <w:rPr>
                <w:lang w:eastAsia="zh-CN"/>
              </w:rPr>
              <w:t>中国质量认证中心有限公司、北京中认科进技术服务有限公司、中国科学院地理科学与资源研究所、中国生物多样性保护与绿色发展基金会生态文明专项基金、贵州绿色产业技术研究院、福智生（北京）科技有限公司、中检科创（北京）测试认证有限责任公司、中关村认同应用技术跨界创新联盟绿色低碳科技产业发展中心</w:t>
            </w:r>
          </w:p>
        </w:tc>
      </w:tr>
      <w:tr w14:paraId="65735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538" w:type="dxa"/>
          </w:tcPr>
          <w:p w14:paraId="1BD9445C">
            <w:pPr>
              <w:pStyle w:val="7"/>
              <w:spacing w:before="207" w:line="221" w:lineRule="auto"/>
              <w:ind w:left="116"/>
              <w:rPr>
                <w:rFonts w:hint="eastAsia"/>
              </w:rPr>
            </w:pPr>
            <w:r>
              <w:rPr>
                <w:spacing w:val="-2"/>
              </w:rPr>
              <w:t>起草组成员</w:t>
            </w:r>
          </w:p>
        </w:tc>
        <w:tc>
          <w:tcPr>
            <w:tcW w:w="7684" w:type="dxa"/>
            <w:gridSpan w:val="5"/>
          </w:tcPr>
          <w:p w14:paraId="7920413B">
            <w:pPr>
              <w:pStyle w:val="7"/>
              <w:spacing w:before="51" w:line="249" w:lineRule="auto"/>
              <w:ind w:right="103"/>
              <w:rPr>
                <w:rFonts w:hint="eastAsia"/>
                <w:lang w:eastAsia="zh-CN"/>
              </w:rPr>
            </w:pPr>
            <w:r>
              <w:rPr>
                <w:rFonts w:hint="eastAsia"/>
                <w:lang w:eastAsia="zh-CN"/>
              </w:rPr>
              <w:t>邢慧洁、江海、张浩、刘钢、</w:t>
            </w:r>
            <w:r>
              <w:rPr>
                <w:lang w:eastAsia="zh-CN"/>
              </w:rPr>
              <w:t>张玉珂、胡承志、冯健伟、</w:t>
            </w:r>
            <w:r>
              <w:rPr>
                <w:rFonts w:hint="eastAsia"/>
                <w:lang w:eastAsia="zh-CN"/>
              </w:rPr>
              <w:t>史寅虎、曾召锋、吕艳、</w:t>
            </w:r>
            <w:r>
              <w:rPr>
                <w:rFonts w:hint="eastAsia"/>
                <w:spacing w:val="-6"/>
                <w:lang w:eastAsia="zh-CN"/>
              </w:rPr>
              <w:t>罗佳妮、姜南、</w:t>
            </w:r>
            <w:r>
              <w:rPr>
                <w:rFonts w:hint="eastAsia"/>
                <w:lang w:eastAsia="zh-CN"/>
              </w:rPr>
              <w:t>王志强、张韵、黄玫、曹旸、李永、张洋、</w:t>
            </w:r>
            <w:r>
              <w:rPr>
                <w:rFonts w:hint="eastAsia"/>
                <w:spacing w:val="-6"/>
                <w:lang w:eastAsia="zh-CN"/>
              </w:rPr>
              <w:t>张宁旭、张紫钰、曹江龙、</w:t>
            </w:r>
            <w:r>
              <w:rPr>
                <w:rFonts w:hint="eastAsia"/>
                <w:lang w:eastAsia="zh-CN"/>
              </w:rPr>
              <w:t>别致、杨光、何洪任、李新实、彭公炳</w:t>
            </w:r>
            <w:bookmarkStart w:id="0" w:name="_GoBack"/>
            <w:bookmarkEnd w:id="0"/>
            <w:r>
              <w:rPr>
                <w:rFonts w:hint="eastAsia"/>
                <w:lang w:eastAsia="zh-CN"/>
              </w:rPr>
              <w:t>。</w:t>
            </w:r>
          </w:p>
        </w:tc>
      </w:tr>
      <w:tr w14:paraId="3C002A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1538" w:type="dxa"/>
            <w:vAlign w:val="center"/>
          </w:tcPr>
          <w:p w14:paraId="15C4EBA1">
            <w:pPr>
              <w:pStyle w:val="7"/>
              <w:spacing w:before="208" w:line="221" w:lineRule="auto"/>
              <w:ind w:left="119"/>
              <w:jc w:val="both"/>
              <w:rPr>
                <w:rFonts w:hint="eastAsia"/>
              </w:rPr>
            </w:pPr>
            <w:r>
              <w:rPr>
                <w:spacing w:val="-2"/>
              </w:rPr>
              <w:t>项目调整情况</w:t>
            </w:r>
          </w:p>
        </w:tc>
        <w:tc>
          <w:tcPr>
            <w:tcW w:w="7684" w:type="dxa"/>
            <w:gridSpan w:val="5"/>
            <w:vAlign w:val="center"/>
          </w:tcPr>
          <w:p w14:paraId="3E902C4C">
            <w:pPr>
              <w:pStyle w:val="7"/>
              <w:spacing w:before="51" w:line="249" w:lineRule="auto"/>
              <w:ind w:left="113" w:right="217" w:firstLine="1"/>
              <w:jc w:val="both"/>
              <w:rPr>
                <w:rFonts w:hint="eastAsia"/>
                <w:lang w:eastAsia="zh-CN"/>
              </w:rPr>
            </w:pPr>
            <w:r>
              <w:rPr>
                <w:rFonts w:hint="eastAsia"/>
                <w:lang w:eastAsia="zh-CN"/>
              </w:rPr>
              <w:t>无</w:t>
            </w:r>
          </w:p>
        </w:tc>
      </w:tr>
      <w:tr w14:paraId="26DC50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222" w:type="dxa"/>
            <w:gridSpan w:val="6"/>
          </w:tcPr>
          <w:p w14:paraId="6D7B1B89">
            <w:pPr>
              <w:pStyle w:val="7"/>
              <w:spacing w:before="173" w:line="220" w:lineRule="auto"/>
              <w:ind w:left="3498"/>
              <w:rPr>
                <w:rFonts w:hint="eastAsia"/>
                <w:sz w:val="28"/>
                <w:szCs w:val="28"/>
              </w:rPr>
            </w:pPr>
            <w:r>
              <w:rPr>
                <w:b/>
                <w:bCs/>
                <w:spacing w:val="-4"/>
                <w:sz w:val="28"/>
                <w:szCs w:val="28"/>
              </w:rPr>
              <w:t>背景、目的和意义</w:t>
            </w:r>
          </w:p>
        </w:tc>
      </w:tr>
      <w:tr w14:paraId="21500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1" w:hRule="atLeast"/>
        </w:trPr>
        <w:tc>
          <w:tcPr>
            <w:tcW w:w="1538" w:type="dxa"/>
            <w:vAlign w:val="center"/>
          </w:tcPr>
          <w:p w14:paraId="6D046B95">
            <w:pPr>
              <w:spacing w:line="305" w:lineRule="auto"/>
              <w:jc w:val="center"/>
            </w:pPr>
          </w:p>
          <w:p w14:paraId="5DA024DE">
            <w:pPr>
              <w:spacing w:line="306" w:lineRule="auto"/>
              <w:jc w:val="center"/>
            </w:pPr>
          </w:p>
          <w:p w14:paraId="63B34EA9">
            <w:pPr>
              <w:spacing w:line="306" w:lineRule="auto"/>
              <w:jc w:val="center"/>
            </w:pPr>
          </w:p>
          <w:p w14:paraId="70DD8674">
            <w:pPr>
              <w:pStyle w:val="7"/>
              <w:spacing w:before="69" w:line="221" w:lineRule="auto"/>
              <w:ind w:left="119"/>
              <w:jc w:val="center"/>
              <w:rPr>
                <w:rFonts w:hint="eastAsia"/>
              </w:rPr>
            </w:pPr>
            <w:r>
              <w:rPr>
                <w:spacing w:val="-3"/>
              </w:rPr>
              <w:t>背景</w:t>
            </w:r>
          </w:p>
        </w:tc>
        <w:tc>
          <w:tcPr>
            <w:tcW w:w="7684" w:type="dxa"/>
            <w:gridSpan w:val="5"/>
          </w:tcPr>
          <w:p w14:paraId="7D7C00E7">
            <w:pPr>
              <w:pStyle w:val="7"/>
              <w:spacing w:before="59" w:line="261" w:lineRule="auto"/>
              <w:ind w:left="109" w:right="218" w:firstLine="420"/>
              <w:jc w:val="both"/>
              <w:rPr>
                <w:rFonts w:hint="eastAsia"/>
                <w:lang w:eastAsia="zh-CN"/>
              </w:rPr>
            </w:pPr>
            <w:r>
              <w:rPr>
                <w:rFonts w:hint="eastAsia"/>
                <w:lang w:eastAsia="zh-CN"/>
              </w:rPr>
              <w:t>“建立和规范生态产品认证评价标准，构建具有中国特色的生态产品认证体系”作为国家加快推进生态产品价值实现的重要抓手，被明确写入2021年的中共中央、国务院印发的《关于建立健全生态产品价值实现机制的意见》（简称：《意见》文件之中，并占据重要位置；2024年国家发改委《关于加快建立生态产品价值实现机制的实施方案》相关要求，构建具有中国特色的生态产品认证体系主要目标任务是：建立和规范生态产品认证评价标准，制定分级分类的生态产品认证评价标准细则，建立完善相应认证规范程序；2024年12月，为贯彻落实《意见》，国家林业和草原局、国家发展改革委、国家统计局联合编制了《生态产品目录（2024年版）》，将生态产品分为物质攻击、调节服务和文化服务三类，明确了“文化服务类生态产品”包括旅游康养服务、教育科研服务、精神审美服务、景观增值服务和其他文化服务。相关文件内容为生态产品评价标准研制提供了具体方向指导。</w:t>
            </w:r>
          </w:p>
          <w:p w14:paraId="193BAC5C">
            <w:pPr>
              <w:pStyle w:val="7"/>
              <w:spacing w:before="59" w:line="261" w:lineRule="auto"/>
              <w:ind w:left="109" w:right="218" w:firstLine="420"/>
              <w:jc w:val="both"/>
              <w:rPr>
                <w:rFonts w:hint="eastAsia"/>
                <w:lang w:eastAsia="zh-CN"/>
              </w:rPr>
            </w:pPr>
            <w:r>
              <w:rPr>
                <w:rFonts w:hint="eastAsia"/>
                <w:lang w:eastAsia="zh-CN"/>
              </w:rPr>
              <w:t>为进一步贯彻落实国家层面“建立和规范生态产品评价标准”等相关要求，中国质量认证中心有限公司、北京中认科进技术服务有限公司、中国科学院地理科学与资源研究所等单位联合提出《生态产品评价》系列标准立项，为具体推进生态产品评价提供技术支撑。</w:t>
            </w:r>
          </w:p>
        </w:tc>
      </w:tr>
      <w:tr w14:paraId="60AB07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538" w:type="dxa"/>
            <w:vAlign w:val="center"/>
          </w:tcPr>
          <w:p w14:paraId="15C70D50">
            <w:pPr>
              <w:pStyle w:val="7"/>
              <w:spacing w:before="68" w:line="223" w:lineRule="auto"/>
              <w:ind w:left="156"/>
              <w:jc w:val="center"/>
              <w:rPr>
                <w:rFonts w:hint="eastAsia"/>
              </w:rPr>
            </w:pPr>
            <w:r>
              <w:rPr>
                <w:spacing w:val="-12"/>
              </w:rPr>
              <w:t>目的</w:t>
            </w:r>
          </w:p>
        </w:tc>
        <w:tc>
          <w:tcPr>
            <w:tcW w:w="7684" w:type="dxa"/>
            <w:gridSpan w:val="5"/>
          </w:tcPr>
          <w:p w14:paraId="10567AA0">
            <w:pPr>
              <w:pStyle w:val="7"/>
              <w:spacing w:before="52" w:line="276" w:lineRule="auto"/>
              <w:ind w:left="112" w:right="57" w:firstLine="421"/>
              <w:jc w:val="both"/>
              <w:rPr>
                <w:rFonts w:hint="eastAsia"/>
                <w:spacing w:val="-3"/>
                <w:lang w:eastAsia="zh-CN"/>
              </w:rPr>
            </w:pPr>
            <w:r>
              <w:rPr>
                <w:rFonts w:hint="eastAsia"/>
                <w:spacing w:val="-3"/>
                <w:lang w:eastAsia="zh-CN"/>
              </w:rPr>
              <w:t>通过系列标准的制定，明确生态产品评价基本要求和流程要求，为开展生态产品评价提供基本依据，并通过标准的验证实施，不断细化完善生态产品评价标准及配套实施细则，为相关国家、行业标准的出台提供经验参考。</w:t>
            </w:r>
          </w:p>
        </w:tc>
      </w:tr>
      <w:tr w14:paraId="5129E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5" w:hRule="atLeast"/>
        </w:trPr>
        <w:tc>
          <w:tcPr>
            <w:tcW w:w="1538" w:type="dxa"/>
            <w:vAlign w:val="center"/>
          </w:tcPr>
          <w:p w14:paraId="1C449B4D">
            <w:pPr>
              <w:spacing w:line="254" w:lineRule="auto"/>
              <w:jc w:val="center"/>
              <w:rPr>
                <w:lang w:eastAsia="zh-CN"/>
              </w:rPr>
            </w:pPr>
          </w:p>
          <w:p w14:paraId="0F068988">
            <w:pPr>
              <w:spacing w:line="254" w:lineRule="auto"/>
              <w:jc w:val="center"/>
              <w:rPr>
                <w:lang w:eastAsia="zh-CN"/>
              </w:rPr>
            </w:pPr>
          </w:p>
          <w:p w14:paraId="08D6CE7F">
            <w:pPr>
              <w:spacing w:line="254" w:lineRule="auto"/>
              <w:jc w:val="center"/>
              <w:rPr>
                <w:lang w:eastAsia="zh-CN"/>
              </w:rPr>
            </w:pPr>
          </w:p>
          <w:p w14:paraId="33BC986F">
            <w:pPr>
              <w:pStyle w:val="7"/>
              <w:spacing w:before="68" w:line="221" w:lineRule="auto"/>
              <w:ind w:left="121"/>
              <w:jc w:val="center"/>
              <w:rPr>
                <w:rFonts w:hint="eastAsia"/>
              </w:rPr>
            </w:pPr>
            <w:r>
              <w:rPr>
                <w:spacing w:val="-3"/>
              </w:rPr>
              <w:t>意义</w:t>
            </w:r>
          </w:p>
        </w:tc>
        <w:tc>
          <w:tcPr>
            <w:tcW w:w="7684" w:type="dxa"/>
            <w:gridSpan w:val="5"/>
          </w:tcPr>
          <w:p w14:paraId="653099F0">
            <w:pPr>
              <w:pStyle w:val="7"/>
              <w:spacing w:before="56" w:line="274" w:lineRule="auto"/>
              <w:ind w:left="110" w:right="217" w:firstLine="421"/>
              <w:rPr>
                <w:rFonts w:hint="eastAsia"/>
                <w:lang w:eastAsia="zh-CN"/>
              </w:rPr>
            </w:pPr>
            <w:r>
              <w:rPr>
                <w:rFonts w:hint="eastAsia"/>
                <w:lang w:eastAsia="zh-CN"/>
              </w:rPr>
              <w:t>生态产品评价系列标准对特定区域的生态产品的评价总体要求、生态产品价值、物质供给类和文化服务类生态产品的界定提出系统的评价要求，把提升特定区域生态产品价值与专项生态产品评价工作有机衔接，给各特定地域、生态产品贴上独特生态标签，将有效为生态产品溢价增值、市场化交易提供科学依据，有力促进区域生态文明建设高质量发展，这既是全面贯彻落实习近平生态文明思想的重要探索，也是践行“绿水青山就是金山银山”的理念的生动实践。</w:t>
            </w:r>
          </w:p>
          <w:p w14:paraId="148E6E32">
            <w:pPr>
              <w:pStyle w:val="7"/>
              <w:spacing w:before="56" w:line="274" w:lineRule="auto"/>
              <w:ind w:left="110" w:right="217" w:firstLine="421"/>
              <w:rPr>
                <w:rFonts w:hint="eastAsia"/>
                <w:lang w:eastAsia="zh-CN"/>
              </w:rPr>
            </w:pPr>
            <w:r>
              <w:rPr>
                <w:rFonts w:hint="eastAsia"/>
                <w:lang w:eastAsia="zh-CN"/>
              </w:rPr>
              <w:t>本文件作为生态产品评价》系列标准的第4部分，结合评价实施的可行性等综合考虑，《生态产品目录（2024年版）》文化服务类产品提出的旅游、住宿、康养疗养、生态教育、精神文化审美等五类生态服务产品提出具体的评价要求，可结合《生态产品评价 第1部分：总则》和《生态产品评价 第2部分：价值评价》共同使用，推动文化服务类生态产品与区域生态产品价值有效衔接，共同促进文化服务类生态产品价值转化和评价结果创新应用。</w:t>
            </w:r>
          </w:p>
          <w:p w14:paraId="37263E1F">
            <w:pPr>
              <w:pStyle w:val="7"/>
              <w:spacing w:line="219" w:lineRule="auto"/>
              <w:ind w:left="113"/>
              <w:rPr>
                <w:rFonts w:hint="eastAsia"/>
                <w:lang w:eastAsia="zh-CN"/>
              </w:rPr>
            </w:pPr>
          </w:p>
        </w:tc>
      </w:tr>
      <w:tr w14:paraId="727E1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222" w:type="dxa"/>
            <w:gridSpan w:val="6"/>
          </w:tcPr>
          <w:p w14:paraId="4FEDD7D6">
            <w:pPr>
              <w:pStyle w:val="7"/>
              <w:spacing w:before="176" w:line="219" w:lineRule="auto"/>
              <w:ind w:left="4058"/>
              <w:rPr>
                <w:rFonts w:hint="eastAsia"/>
                <w:sz w:val="28"/>
                <w:szCs w:val="28"/>
              </w:rPr>
            </w:pPr>
            <w:r>
              <w:rPr>
                <w:b/>
                <w:bCs/>
                <w:spacing w:val="-6"/>
                <w:sz w:val="28"/>
                <w:szCs w:val="28"/>
              </w:rPr>
              <w:t>工作简况</w:t>
            </w:r>
          </w:p>
        </w:tc>
      </w:tr>
      <w:tr w14:paraId="20F4F8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1" w:hRule="atLeast"/>
        </w:trPr>
        <w:tc>
          <w:tcPr>
            <w:tcW w:w="1708" w:type="dxa"/>
            <w:gridSpan w:val="2"/>
          </w:tcPr>
          <w:p w14:paraId="6B6A0A49">
            <w:pPr>
              <w:pStyle w:val="7"/>
              <w:spacing w:before="290" w:line="221" w:lineRule="auto"/>
              <w:ind w:left="116"/>
              <w:rPr>
                <w:rFonts w:hint="eastAsia"/>
                <w:lang w:eastAsia="zh-CN"/>
              </w:rPr>
            </w:pPr>
            <w:r>
              <w:rPr>
                <w:spacing w:val="1"/>
                <w:lang w:eastAsia="zh-CN"/>
              </w:rPr>
              <w:t>标准主要起草人</w:t>
            </w:r>
          </w:p>
          <w:p w14:paraId="5E197FD7">
            <w:pPr>
              <w:pStyle w:val="7"/>
              <w:spacing w:before="60" w:line="221" w:lineRule="auto"/>
              <w:ind w:left="115"/>
              <w:rPr>
                <w:rFonts w:hint="eastAsia"/>
                <w:lang w:eastAsia="zh-CN"/>
              </w:rPr>
            </w:pPr>
            <w:r>
              <w:rPr>
                <w:spacing w:val="-1"/>
                <w:lang w:eastAsia="zh-CN"/>
              </w:rPr>
              <w:t>任务分工</w:t>
            </w:r>
          </w:p>
        </w:tc>
        <w:tc>
          <w:tcPr>
            <w:tcW w:w="7514" w:type="dxa"/>
            <w:gridSpan w:val="4"/>
          </w:tcPr>
          <w:p w14:paraId="134A358C">
            <w:pPr>
              <w:pStyle w:val="7"/>
              <w:spacing w:before="210" w:line="258" w:lineRule="auto"/>
              <w:ind w:right="28"/>
              <w:jc w:val="both"/>
              <w:rPr>
                <w:rFonts w:hint="eastAsia"/>
                <w:spacing w:val="-6"/>
                <w:lang w:eastAsia="zh-CN"/>
              </w:rPr>
            </w:pPr>
            <w:r>
              <w:rPr>
                <w:rFonts w:hint="eastAsia"/>
                <w:spacing w:val="-6"/>
                <w:lang w:eastAsia="zh-CN"/>
              </w:rPr>
              <w:t>标准架构定位，由</w:t>
            </w:r>
            <w:r>
              <w:rPr>
                <w:rFonts w:hint="eastAsia"/>
                <w:lang w:eastAsia="zh-CN"/>
              </w:rPr>
              <w:t>刘钢、胡承志、张玉珂、李新实、彭公炳等负责；</w:t>
            </w:r>
            <w:r>
              <w:rPr>
                <w:rFonts w:hint="eastAsia"/>
                <w:spacing w:val="-6"/>
                <w:lang w:eastAsia="zh-CN"/>
              </w:rPr>
              <w:t>标准起草及整体把控：由姜南、王志强、黄玫、吕艳、冯健伟等负责；标准“术语与定义、生态本底要求、生态和谐要求、资源要素保障”章节起草及修改，由邢慧洁、张韵、王志强等负责；标准旅游、住宿生态产品标准相关内容起草及修改，由邢慧洁、王志强等负责；标准康养疗养生态产品标准相关内容起草及修改，由罗佳妮、张洋等负责；</w:t>
            </w:r>
            <w:r>
              <w:rPr>
                <w:rFonts w:hint="eastAsia"/>
                <w:lang w:eastAsia="zh-CN"/>
              </w:rPr>
              <w:t>标准教育科研生态产品标准相关内容起草及修改，由张洋、邢慧洁等负责；标准精神审美生态产品标准相关内容起草及修改，由姜南、邢慧洁等负责；</w:t>
            </w:r>
            <w:r>
              <w:rPr>
                <w:rFonts w:hint="eastAsia"/>
                <w:spacing w:val="-6"/>
                <w:lang w:eastAsia="zh-CN"/>
              </w:rPr>
              <w:t>标准意见建议提出及整体审查，由吕艳、黄玫、邢慧洁、姜南、张浩、李永、曾召锋等负责；</w:t>
            </w:r>
          </w:p>
        </w:tc>
      </w:tr>
    </w:tbl>
    <w:p w14:paraId="70F01801">
      <w:pPr>
        <w:spacing w:line="91" w:lineRule="auto"/>
        <w:rPr>
          <w:sz w:val="2"/>
          <w:lang w:eastAsia="zh-CN"/>
        </w:rPr>
      </w:pPr>
    </w:p>
    <w:tbl>
      <w:tblPr>
        <w:tblStyle w:val="6"/>
        <w:tblW w:w="93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8"/>
        <w:gridCol w:w="7514"/>
        <w:gridCol w:w="152"/>
      </w:tblGrid>
      <w:tr w14:paraId="584E98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2" w:hRule="atLeast"/>
        </w:trPr>
        <w:tc>
          <w:tcPr>
            <w:tcW w:w="1708" w:type="dxa"/>
          </w:tcPr>
          <w:p w14:paraId="45D5D5F3">
            <w:pPr>
              <w:spacing w:line="279" w:lineRule="auto"/>
              <w:rPr>
                <w:lang w:eastAsia="zh-CN"/>
              </w:rPr>
            </w:pPr>
          </w:p>
          <w:p w14:paraId="377DA139">
            <w:pPr>
              <w:spacing w:line="279" w:lineRule="auto"/>
              <w:rPr>
                <w:lang w:eastAsia="zh-CN"/>
              </w:rPr>
            </w:pPr>
          </w:p>
          <w:p w14:paraId="699EC84B">
            <w:pPr>
              <w:spacing w:line="280" w:lineRule="auto"/>
              <w:rPr>
                <w:lang w:eastAsia="zh-CN"/>
              </w:rPr>
            </w:pPr>
          </w:p>
          <w:p w14:paraId="0B76D51E">
            <w:pPr>
              <w:pStyle w:val="7"/>
              <w:spacing w:before="68" w:line="221" w:lineRule="auto"/>
              <w:ind w:left="117"/>
              <w:rPr>
                <w:rFonts w:hint="eastAsia"/>
              </w:rPr>
            </w:pPr>
            <w:r>
              <w:rPr>
                <w:spacing w:val="-2"/>
              </w:rPr>
              <w:t>主要工作过程</w:t>
            </w:r>
          </w:p>
        </w:tc>
        <w:tc>
          <w:tcPr>
            <w:tcW w:w="7666" w:type="dxa"/>
            <w:gridSpan w:val="2"/>
          </w:tcPr>
          <w:p w14:paraId="68DA9AA4">
            <w:pPr>
              <w:pStyle w:val="7"/>
              <w:numPr>
                <w:ilvl w:val="0"/>
                <w:numId w:val="1"/>
              </w:numPr>
              <w:spacing w:before="210" w:line="258" w:lineRule="auto"/>
              <w:ind w:right="28"/>
              <w:jc w:val="both"/>
              <w:rPr>
                <w:rFonts w:hint="eastAsia"/>
                <w:spacing w:val="-2"/>
                <w:lang w:eastAsia="zh-CN"/>
              </w:rPr>
            </w:pPr>
            <w:r>
              <w:rPr>
                <w:rFonts w:ascii="Times New Roman" w:hAnsi="Times New Roman" w:eastAsia="Times New Roman" w:cs="Times New Roman"/>
                <w:spacing w:val="-2"/>
                <w:lang w:eastAsia="zh-CN"/>
              </w:rPr>
              <w:t>202</w:t>
            </w:r>
            <w:r>
              <w:rPr>
                <w:rFonts w:hint="eastAsia" w:ascii="Times New Roman" w:hAnsi="Times New Roman" w:cs="Times New Roman"/>
                <w:spacing w:val="-2"/>
                <w:lang w:eastAsia="zh-CN"/>
              </w:rPr>
              <w:t>4</w:t>
            </w:r>
            <w:r>
              <w:rPr>
                <w:spacing w:val="-2"/>
                <w:lang w:eastAsia="zh-CN"/>
              </w:rPr>
              <w:t>年</w:t>
            </w:r>
            <w:r>
              <w:rPr>
                <w:rFonts w:hint="eastAsia"/>
                <w:spacing w:val="-21"/>
                <w:lang w:eastAsia="zh-CN"/>
              </w:rPr>
              <w:t>11</w:t>
            </w:r>
            <w:r>
              <w:rPr>
                <w:rFonts w:hint="eastAsia" w:ascii="Times New Roman" w:hAnsi="Times New Roman" w:cs="Times New Roman"/>
                <w:spacing w:val="-2"/>
                <w:lang w:eastAsia="zh-CN"/>
              </w:rPr>
              <w:t>月29日及12月9日</w:t>
            </w:r>
            <w:r>
              <w:rPr>
                <w:rFonts w:hint="eastAsia"/>
                <w:spacing w:val="-2"/>
                <w:lang w:eastAsia="zh-CN"/>
              </w:rPr>
              <w:t>：召开生态产品评价体系沟通工作沟通交流会，酝酿生态产品评价系列标准立项计划，讨论草案框架；</w:t>
            </w:r>
          </w:p>
          <w:p w14:paraId="256B6F01">
            <w:pPr>
              <w:pStyle w:val="7"/>
              <w:numPr>
                <w:ilvl w:val="0"/>
                <w:numId w:val="1"/>
              </w:numPr>
              <w:spacing w:before="210" w:line="258" w:lineRule="auto"/>
              <w:ind w:right="28"/>
              <w:jc w:val="both"/>
              <w:rPr>
                <w:rFonts w:hint="eastAsia"/>
                <w:lang w:eastAsia="zh-CN"/>
              </w:rPr>
            </w:pPr>
            <w:r>
              <w:rPr>
                <w:rFonts w:hint="eastAsia"/>
                <w:spacing w:val="-2"/>
                <w:lang w:eastAsia="zh-CN"/>
              </w:rPr>
              <w:t>2024年12月-2025年1月7日：成立标准起草小组，开展</w:t>
            </w:r>
            <w:r>
              <w:rPr>
                <w:spacing w:val="-2"/>
                <w:lang w:eastAsia="zh-CN"/>
              </w:rPr>
              <w:t>资料和实际调研；</w:t>
            </w:r>
          </w:p>
          <w:p w14:paraId="258E42A5">
            <w:pPr>
              <w:pStyle w:val="7"/>
              <w:numPr>
                <w:ilvl w:val="0"/>
                <w:numId w:val="1"/>
              </w:numPr>
              <w:spacing w:before="210" w:line="258" w:lineRule="auto"/>
              <w:ind w:right="28"/>
              <w:jc w:val="both"/>
              <w:rPr>
                <w:rFonts w:hint="eastAsia"/>
                <w:lang w:eastAsia="zh-CN"/>
              </w:rPr>
            </w:pPr>
            <w:r>
              <w:rPr>
                <w:rFonts w:hint="eastAsia"/>
                <w:spacing w:val="-2"/>
                <w:lang w:eastAsia="zh-CN"/>
              </w:rPr>
              <w:t>2025年1月8日-9日：召开生态产品评价标准研讨会议，系统明确系列标准结构框架及内容方向；</w:t>
            </w:r>
          </w:p>
          <w:p w14:paraId="5D9F8024">
            <w:pPr>
              <w:pStyle w:val="7"/>
              <w:numPr>
                <w:ilvl w:val="0"/>
                <w:numId w:val="1"/>
              </w:numPr>
              <w:spacing w:before="210" w:line="258" w:lineRule="auto"/>
              <w:ind w:right="28"/>
              <w:jc w:val="both"/>
              <w:rPr>
                <w:rFonts w:hint="eastAsia"/>
                <w:lang w:eastAsia="zh-CN"/>
              </w:rPr>
            </w:pPr>
            <w:r>
              <w:rPr>
                <w:rFonts w:hint="eastAsia"/>
                <w:spacing w:val="-2"/>
                <w:lang w:eastAsia="zh-CN"/>
              </w:rPr>
              <w:t>2025年1月10日-2月19日：起草标准（草案稿）、编制标准立项文件；召开起草组内部工作会议，开展生态产品评价标准（草案稿）研讨；</w:t>
            </w:r>
          </w:p>
          <w:p w14:paraId="4B03DADD">
            <w:pPr>
              <w:pStyle w:val="7"/>
              <w:numPr>
                <w:ilvl w:val="0"/>
                <w:numId w:val="1"/>
              </w:numPr>
              <w:spacing w:before="210" w:line="258" w:lineRule="auto"/>
              <w:ind w:right="28"/>
              <w:jc w:val="both"/>
              <w:rPr>
                <w:rFonts w:hint="eastAsia"/>
                <w:lang w:eastAsia="zh-CN"/>
              </w:rPr>
            </w:pPr>
            <w:r>
              <w:rPr>
                <w:rFonts w:hint="eastAsia"/>
                <w:lang w:eastAsia="zh-CN"/>
              </w:rPr>
              <w:t>2025年2月20日-3月10日：根据起草组讨论修改意见，修改完善标准草案稿；在此基础上形成标准立项建议书；</w:t>
            </w:r>
          </w:p>
          <w:p w14:paraId="6DF03ECD">
            <w:pPr>
              <w:pStyle w:val="7"/>
              <w:numPr>
                <w:ilvl w:val="0"/>
                <w:numId w:val="1"/>
              </w:numPr>
              <w:spacing w:before="210" w:line="258" w:lineRule="auto"/>
              <w:ind w:right="28"/>
              <w:jc w:val="both"/>
              <w:rPr>
                <w:rFonts w:hint="eastAsia"/>
                <w:lang w:eastAsia="zh-CN"/>
              </w:rPr>
            </w:pPr>
            <w:r>
              <w:rPr>
                <w:rFonts w:hint="eastAsia"/>
                <w:lang w:eastAsia="zh-CN"/>
              </w:rPr>
              <w:t>2025年3月11日-4月20日：标准草案稿的基础上编写生态产品评价实施配套表单，并根据起草组内容交叉审核意见修改标准文本；</w:t>
            </w:r>
          </w:p>
          <w:p w14:paraId="34A63B9B">
            <w:pPr>
              <w:pStyle w:val="7"/>
              <w:numPr>
                <w:ilvl w:val="0"/>
                <w:numId w:val="1"/>
              </w:numPr>
              <w:spacing w:before="210" w:line="258" w:lineRule="auto"/>
              <w:ind w:right="28"/>
              <w:jc w:val="both"/>
              <w:rPr>
                <w:rFonts w:hint="eastAsia"/>
                <w:lang w:eastAsia="zh-CN"/>
              </w:rPr>
            </w:pPr>
            <w:r>
              <w:rPr>
                <w:rFonts w:hint="eastAsia"/>
                <w:lang w:eastAsia="zh-CN"/>
              </w:rPr>
              <w:t>2025年4月21日-6月20日：标准文本内部评审，并依托铜仁抹茶项目开展生态产品评价验证；</w:t>
            </w:r>
          </w:p>
          <w:p w14:paraId="684969F8">
            <w:pPr>
              <w:pStyle w:val="7"/>
              <w:numPr>
                <w:ilvl w:val="0"/>
                <w:numId w:val="1"/>
              </w:numPr>
              <w:spacing w:before="210" w:line="258" w:lineRule="auto"/>
              <w:ind w:right="28"/>
              <w:jc w:val="both"/>
              <w:rPr>
                <w:rFonts w:hint="eastAsia"/>
                <w:lang w:eastAsia="zh-CN"/>
              </w:rPr>
            </w:pPr>
            <w:r>
              <w:rPr>
                <w:rFonts w:hint="eastAsia"/>
                <w:lang w:eastAsia="zh-CN"/>
              </w:rPr>
              <w:t>2025年6月21日-7月31日：推进标准立项评审并完成立项，根据项目验证情况及标准立项评审反馈意见，进一步细化修改标准文本，形成标准征求意见稿。</w:t>
            </w:r>
          </w:p>
          <w:p w14:paraId="637345EE">
            <w:pPr>
              <w:pStyle w:val="7"/>
              <w:spacing w:before="45" w:line="234" w:lineRule="auto"/>
              <w:rPr>
                <w:rFonts w:hint="eastAsia"/>
                <w:lang w:eastAsia="zh-CN"/>
              </w:rPr>
            </w:pPr>
          </w:p>
        </w:tc>
      </w:tr>
      <w:tr w14:paraId="2CC1F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9374" w:type="dxa"/>
            <w:gridSpan w:val="3"/>
          </w:tcPr>
          <w:p w14:paraId="5A3B3736">
            <w:pPr>
              <w:pStyle w:val="7"/>
              <w:spacing w:before="172" w:line="220" w:lineRule="auto"/>
              <w:ind w:left="2090"/>
              <w:rPr>
                <w:rFonts w:hint="eastAsia"/>
                <w:sz w:val="28"/>
                <w:szCs w:val="28"/>
                <w:lang w:eastAsia="zh-CN"/>
              </w:rPr>
            </w:pPr>
            <w:r>
              <w:rPr>
                <w:b/>
                <w:bCs/>
                <w:spacing w:val="-3"/>
                <w:sz w:val="28"/>
                <w:szCs w:val="28"/>
                <w:lang w:eastAsia="zh-CN"/>
              </w:rPr>
              <w:t>标准编制原则和确定标准主要内容的论据</w:t>
            </w:r>
          </w:p>
        </w:tc>
      </w:tr>
      <w:tr w14:paraId="24B242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2" w:hRule="atLeast"/>
        </w:trPr>
        <w:tc>
          <w:tcPr>
            <w:tcW w:w="1708" w:type="dxa"/>
          </w:tcPr>
          <w:p w14:paraId="2956769F">
            <w:pPr>
              <w:spacing w:line="248" w:lineRule="auto"/>
              <w:rPr>
                <w:lang w:eastAsia="zh-CN"/>
              </w:rPr>
            </w:pPr>
          </w:p>
          <w:p w14:paraId="7511830E">
            <w:pPr>
              <w:spacing w:line="248" w:lineRule="auto"/>
              <w:rPr>
                <w:lang w:eastAsia="zh-CN"/>
              </w:rPr>
            </w:pPr>
          </w:p>
          <w:p w14:paraId="3BDDB35C">
            <w:pPr>
              <w:spacing w:line="248" w:lineRule="auto"/>
              <w:rPr>
                <w:lang w:eastAsia="zh-CN"/>
              </w:rPr>
            </w:pPr>
          </w:p>
          <w:p w14:paraId="4336B341">
            <w:pPr>
              <w:spacing w:line="248" w:lineRule="auto"/>
              <w:rPr>
                <w:lang w:eastAsia="zh-CN"/>
              </w:rPr>
            </w:pPr>
          </w:p>
          <w:p w14:paraId="24878E7F">
            <w:pPr>
              <w:spacing w:line="248" w:lineRule="auto"/>
              <w:rPr>
                <w:lang w:eastAsia="zh-CN"/>
              </w:rPr>
            </w:pPr>
          </w:p>
          <w:p w14:paraId="7F72555B">
            <w:pPr>
              <w:spacing w:line="248" w:lineRule="auto"/>
              <w:rPr>
                <w:lang w:eastAsia="zh-CN"/>
              </w:rPr>
            </w:pPr>
          </w:p>
          <w:p w14:paraId="60417F3D">
            <w:pPr>
              <w:spacing w:line="248" w:lineRule="auto"/>
              <w:rPr>
                <w:lang w:eastAsia="zh-CN"/>
              </w:rPr>
            </w:pPr>
          </w:p>
          <w:p w14:paraId="4BBB38AD">
            <w:pPr>
              <w:spacing w:line="249" w:lineRule="auto"/>
              <w:rPr>
                <w:lang w:eastAsia="zh-CN"/>
              </w:rPr>
            </w:pPr>
          </w:p>
          <w:p w14:paraId="687A25CD">
            <w:pPr>
              <w:spacing w:line="249" w:lineRule="auto"/>
              <w:rPr>
                <w:lang w:eastAsia="zh-CN"/>
              </w:rPr>
            </w:pPr>
          </w:p>
          <w:p w14:paraId="31092B53">
            <w:pPr>
              <w:pStyle w:val="7"/>
              <w:spacing w:before="68" w:line="221" w:lineRule="auto"/>
              <w:ind w:left="116"/>
              <w:rPr>
                <w:rFonts w:hint="eastAsia"/>
              </w:rPr>
            </w:pPr>
            <w:r>
              <w:rPr>
                <w:spacing w:val="-1"/>
              </w:rPr>
              <w:t>标准编制原则</w:t>
            </w:r>
          </w:p>
        </w:tc>
        <w:tc>
          <w:tcPr>
            <w:tcW w:w="7666" w:type="dxa"/>
            <w:gridSpan w:val="2"/>
          </w:tcPr>
          <w:p w14:paraId="47CFE0AD">
            <w:pPr>
              <w:pStyle w:val="7"/>
              <w:spacing w:before="212" w:line="234" w:lineRule="auto"/>
              <w:ind w:left="128"/>
              <w:rPr>
                <w:rFonts w:hint="eastAsia"/>
                <w:lang w:eastAsia="zh-CN"/>
              </w:rPr>
            </w:pPr>
            <w:r>
              <w:rPr>
                <w:rFonts w:ascii="Times New Roman" w:hAnsi="Times New Roman" w:eastAsia="Times New Roman" w:cs="Times New Roman"/>
                <w:spacing w:val="-5"/>
                <w:lang w:eastAsia="zh-CN"/>
              </w:rPr>
              <w:t>1</w:t>
            </w:r>
            <w:r>
              <w:rPr>
                <w:rFonts w:ascii="Times New Roman" w:hAnsi="Times New Roman" w:eastAsia="Times New Roman" w:cs="Times New Roman"/>
                <w:spacing w:val="-22"/>
                <w:lang w:eastAsia="zh-CN"/>
              </w:rPr>
              <w:t xml:space="preserve"> </w:t>
            </w:r>
            <w:r>
              <w:rPr>
                <w:spacing w:val="-5"/>
                <w:lang w:eastAsia="zh-CN"/>
              </w:rPr>
              <w:t>、</w:t>
            </w:r>
            <w:r>
              <w:rPr>
                <w:spacing w:val="-50"/>
                <w:lang w:eastAsia="zh-CN"/>
              </w:rPr>
              <w:t xml:space="preserve"> </w:t>
            </w:r>
            <w:r>
              <w:rPr>
                <w:spacing w:val="-5"/>
                <w:lang w:eastAsia="zh-CN"/>
              </w:rPr>
              <w:t>与</w:t>
            </w:r>
            <w:r>
              <w:rPr>
                <w:rFonts w:hint="eastAsia"/>
                <w:spacing w:val="-5"/>
                <w:lang w:eastAsia="zh-CN"/>
              </w:rPr>
              <w:t>国家生态产品核算相关标准</w:t>
            </w:r>
            <w:r>
              <w:rPr>
                <w:spacing w:val="-5"/>
                <w:lang w:eastAsia="zh-CN"/>
              </w:rPr>
              <w:t>衔接</w:t>
            </w:r>
          </w:p>
          <w:p w14:paraId="0CEB184E">
            <w:pPr>
              <w:pStyle w:val="7"/>
              <w:spacing w:before="202" w:line="275" w:lineRule="auto"/>
              <w:ind w:left="111" w:right="45" w:firstLine="482"/>
              <w:jc w:val="both"/>
              <w:rPr>
                <w:rFonts w:hint="eastAsia"/>
                <w:lang w:eastAsia="zh-CN"/>
              </w:rPr>
            </w:pPr>
            <w:r>
              <w:rPr>
                <w:rFonts w:hint="eastAsia"/>
                <w:spacing w:val="-2"/>
                <w:lang w:eastAsia="zh-CN"/>
              </w:rPr>
              <w:t>标准术语定义、价值核算等</w:t>
            </w:r>
            <w:r>
              <w:rPr>
                <w:spacing w:val="-2"/>
                <w:lang w:eastAsia="zh-CN"/>
              </w:rPr>
              <w:t>内容与</w:t>
            </w:r>
            <w:r>
              <w:rPr>
                <w:rFonts w:hint="eastAsia"/>
                <w:spacing w:val="-2"/>
                <w:lang w:eastAsia="zh-CN"/>
              </w:rPr>
              <w:t>国家发改委、国家统计局《生态产品总值核算规范（试行）》等相</w:t>
            </w:r>
            <w:r>
              <w:rPr>
                <w:spacing w:val="-2"/>
                <w:lang w:eastAsia="zh-CN"/>
              </w:rPr>
              <w:t>衔接</w:t>
            </w:r>
            <w:r>
              <w:rPr>
                <w:rFonts w:hint="eastAsia"/>
                <w:spacing w:val="-2"/>
                <w:lang w:eastAsia="zh-CN"/>
              </w:rPr>
              <w:t>，并细化规定了相关功能量、价值量的数据来源和计算方法；《生态产品评价 第1部分：总则》与国家合格评定关于审核、评价相关标准要求相衔接，并引用了《合格评定 第三方符合性标志的通用要求》（GB/T 27030 ）相关规定</w:t>
            </w:r>
            <w:r>
              <w:rPr>
                <w:spacing w:val="-2"/>
                <w:lang w:eastAsia="zh-CN"/>
              </w:rPr>
              <w:t>。本</w:t>
            </w:r>
            <w:r>
              <w:rPr>
                <w:spacing w:val="-6"/>
                <w:lang w:eastAsia="zh-CN"/>
              </w:rPr>
              <w:t>标准制定前，标准编制组对现行法律法规、标准、导则进行了系统的梳理和整合，</w:t>
            </w:r>
            <w:r>
              <w:rPr>
                <w:spacing w:val="-1"/>
                <w:lang w:eastAsia="zh-CN"/>
              </w:rPr>
              <w:t>在此基础上制定了本标准。</w:t>
            </w:r>
          </w:p>
          <w:p w14:paraId="32101871">
            <w:pPr>
              <w:pStyle w:val="7"/>
              <w:spacing w:before="152" w:line="235" w:lineRule="auto"/>
              <w:ind w:left="108"/>
              <w:rPr>
                <w:rFonts w:hint="eastAsia"/>
                <w:spacing w:val="-7"/>
                <w:lang w:eastAsia="zh-CN"/>
              </w:rPr>
            </w:pPr>
            <w:r>
              <w:rPr>
                <w:spacing w:val="-7"/>
                <w:lang w:eastAsia="zh-CN"/>
              </w:rPr>
              <w:t>2 、</w:t>
            </w:r>
            <w:r>
              <w:rPr>
                <w:rFonts w:hint="eastAsia"/>
                <w:spacing w:val="-7"/>
                <w:lang w:eastAsia="zh-CN"/>
              </w:rPr>
              <w:t>生态导向原则</w:t>
            </w:r>
          </w:p>
          <w:p w14:paraId="2E86720E">
            <w:pPr>
              <w:pStyle w:val="7"/>
              <w:spacing w:before="202" w:line="275" w:lineRule="auto"/>
              <w:ind w:left="111" w:right="45" w:firstLine="482"/>
              <w:jc w:val="both"/>
              <w:rPr>
                <w:rFonts w:hint="eastAsia"/>
                <w:spacing w:val="-2"/>
                <w:lang w:eastAsia="zh-CN"/>
              </w:rPr>
            </w:pPr>
            <w:r>
              <w:rPr>
                <w:spacing w:val="-2"/>
                <w:lang w:eastAsia="zh-CN"/>
              </w:rPr>
              <w:t>以遵循自然规律、保护优良原生环境为前提，以实现人与自然和谐共生为准则，以可持续经营开发为统领，推动生态优势转化为产业优势，提高生态产品附加值和溢价能力</w:t>
            </w:r>
            <w:r>
              <w:rPr>
                <w:rFonts w:hint="eastAsia"/>
                <w:spacing w:val="-2"/>
                <w:lang w:eastAsia="zh-CN"/>
              </w:rPr>
              <w:t>。</w:t>
            </w:r>
          </w:p>
          <w:p w14:paraId="76D2561A">
            <w:pPr>
              <w:pStyle w:val="7"/>
              <w:spacing w:before="152" w:line="235" w:lineRule="auto"/>
              <w:ind w:left="108"/>
              <w:rPr>
                <w:rFonts w:hint="eastAsia"/>
                <w:lang w:eastAsia="zh-CN"/>
              </w:rPr>
            </w:pPr>
            <w:r>
              <w:rPr>
                <w:rFonts w:hint="eastAsia"/>
                <w:spacing w:val="-50"/>
                <w:lang w:eastAsia="zh-CN"/>
              </w:rPr>
              <w:t>3 、</w:t>
            </w:r>
            <w:r>
              <w:rPr>
                <w:spacing w:val="-7"/>
                <w:lang w:eastAsia="zh-CN"/>
              </w:rPr>
              <w:t>结构合理</w:t>
            </w:r>
          </w:p>
          <w:p w14:paraId="7E3E2D89">
            <w:pPr>
              <w:pStyle w:val="7"/>
              <w:spacing w:before="198" w:line="274" w:lineRule="auto"/>
              <w:ind w:left="114" w:right="97" w:firstLine="478"/>
              <w:jc w:val="both"/>
              <w:rPr>
                <w:rFonts w:hint="eastAsia"/>
                <w:lang w:eastAsia="zh-CN"/>
              </w:rPr>
            </w:pPr>
            <w:r>
              <w:rPr>
                <w:spacing w:val="-1"/>
                <w:lang w:eastAsia="zh-CN"/>
              </w:rPr>
              <w:t>本文件结合</w:t>
            </w:r>
            <w:r>
              <w:rPr>
                <w:spacing w:val="-45"/>
                <w:lang w:eastAsia="zh-CN"/>
              </w:rPr>
              <w:t xml:space="preserve"> </w:t>
            </w:r>
            <w:r>
              <w:rPr>
                <w:rFonts w:ascii="Times New Roman" w:hAnsi="Times New Roman" w:eastAsia="Times New Roman" w:cs="Times New Roman"/>
                <w:spacing w:val="-1"/>
                <w:lang w:eastAsia="zh-CN"/>
              </w:rPr>
              <w:t>GB/T 1.1</w:t>
            </w:r>
            <w:r>
              <w:rPr>
                <w:spacing w:val="-1"/>
                <w:lang w:eastAsia="zh-CN"/>
              </w:rPr>
              <w:t>—</w:t>
            </w:r>
            <w:r>
              <w:rPr>
                <w:rFonts w:ascii="Times New Roman" w:hAnsi="Times New Roman" w:eastAsia="Times New Roman" w:cs="Times New Roman"/>
                <w:spacing w:val="-1"/>
                <w:lang w:eastAsia="zh-CN"/>
              </w:rPr>
              <w:t>2020</w:t>
            </w:r>
            <w:r>
              <w:rPr>
                <w:spacing w:val="-1"/>
                <w:lang w:eastAsia="zh-CN"/>
              </w:rPr>
              <w:t>《标准化工作导则 第</w:t>
            </w:r>
            <w:r>
              <w:rPr>
                <w:spacing w:val="-27"/>
                <w:lang w:eastAsia="zh-CN"/>
              </w:rPr>
              <w:t xml:space="preserve"> </w:t>
            </w:r>
            <w:r>
              <w:rPr>
                <w:rFonts w:ascii="Times New Roman" w:hAnsi="Times New Roman" w:eastAsia="Times New Roman" w:cs="Times New Roman"/>
                <w:spacing w:val="-2"/>
                <w:lang w:eastAsia="zh-CN"/>
              </w:rPr>
              <w:t xml:space="preserve">1 </w:t>
            </w:r>
            <w:r>
              <w:rPr>
                <w:spacing w:val="-2"/>
                <w:lang w:eastAsia="zh-CN"/>
              </w:rPr>
              <w:t>部分：标准化文件的结</w:t>
            </w:r>
            <w:r>
              <w:rPr>
                <w:lang w:eastAsia="zh-CN"/>
              </w:rPr>
              <w:t xml:space="preserve"> </w:t>
            </w:r>
            <w:r>
              <w:rPr>
                <w:spacing w:val="-2"/>
                <w:lang w:eastAsia="zh-CN"/>
              </w:rPr>
              <w:t>构和起草规则》的规定和国家职业资格标准的内容格式进行了进行编写和表述，</w:t>
            </w:r>
            <w:r>
              <w:rPr>
                <w:spacing w:val="15"/>
                <w:lang w:eastAsia="zh-CN"/>
              </w:rPr>
              <w:t xml:space="preserve"> </w:t>
            </w:r>
            <w:r>
              <w:rPr>
                <w:spacing w:val="-1"/>
                <w:lang w:eastAsia="zh-CN"/>
              </w:rPr>
              <w:t>力求做到</w:t>
            </w:r>
            <w:r>
              <w:rPr>
                <w:rFonts w:ascii="Times New Roman" w:hAnsi="Times New Roman" w:eastAsia="Times New Roman" w:cs="Times New Roman"/>
                <w:spacing w:val="-1"/>
                <w:lang w:eastAsia="zh-CN"/>
              </w:rPr>
              <w:t>“</w:t>
            </w:r>
            <w:r>
              <w:rPr>
                <w:spacing w:val="-1"/>
                <w:lang w:eastAsia="zh-CN"/>
              </w:rPr>
              <w:t>统一性、协调性、适用性、一致性、规范性</w:t>
            </w:r>
            <w:r>
              <w:rPr>
                <w:rFonts w:ascii="Times New Roman" w:hAnsi="Times New Roman" w:eastAsia="Times New Roman" w:cs="Times New Roman"/>
                <w:spacing w:val="-1"/>
                <w:lang w:eastAsia="zh-CN"/>
              </w:rPr>
              <w:t>”</w:t>
            </w:r>
            <w:r>
              <w:rPr>
                <w:spacing w:val="-1"/>
                <w:lang w:eastAsia="zh-CN"/>
              </w:rPr>
              <w:t>。</w:t>
            </w:r>
          </w:p>
          <w:p w14:paraId="3265D7FB">
            <w:pPr>
              <w:pStyle w:val="7"/>
              <w:spacing w:before="159" w:line="234" w:lineRule="auto"/>
              <w:ind w:left="112"/>
              <w:rPr>
                <w:rFonts w:hint="eastAsia"/>
                <w:lang w:eastAsia="zh-CN"/>
              </w:rPr>
            </w:pPr>
            <w:r>
              <w:rPr>
                <w:rFonts w:hint="eastAsia" w:ascii="Times New Roman" w:hAnsi="Times New Roman" w:cs="Times New Roman"/>
                <w:spacing w:val="-5"/>
                <w:lang w:eastAsia="zh-CN"/>
              </w:rPr>
              <w:t>4</w:t>
            </w:r>
            <w:r>
              <w:rPr>
                <w:rFonts w:ascii="Times New Roman" w:hAnsi="Times New Roman" w:eastAsia="Times New Roman" w:cs="Times New Roman"/>
                <w:spacing w:val="-30"/>
                <w:lang w:eastAsia="zh-CN"/>
              </w:rPr>
              <w:t xml:space="preserve"> </w:t>
            </w:r>
            <w:r>
              <w:rPr>
                <w:spacing w:val="-5"/>
                <w:lang w:eastAsia="zh-CN"/>
              </w:rPr>
              <w:t>、</w:t>
            </w:r>
            <w:r>
              <w:rPr>
                <w:spacing w:val="-51"/>
                <w:lang w:eastAsia="zh-CN"/>
              </w:rPr>
              <w:t xml:space="preserve"> </w:t>
            </w:r>
            <w:r>
              <w:rPr>
                <w:spacing w:val="-5"/>
                <w:lang w:eastAsia="zh-CN"/>
              </w:rPr>
              <w:t>具有可操作性</w:t>
            </w:r>
          </w:p>
          <w:p w14:paraId="081B91BA">
            <w:pPr>
              <w:pStyle w:val="7"/>
              <w:spacing w:before="202" w:line="276" w:lineRule="auto"/>
              <w:ind w:left="112" w:right="102" w:firstLine="420"/>
              <w:rPr>
                <w:rFonts w:hint="eastAsia"/>
                <w:lang w:eastAsia="zh-CN"/>
              </w:rPr>
            </w:pPr>
            <w:r>
              <w:rPr>
                <w:spacing w:val="-2"/>
                <w:lang w:eastAsia="zh-CN"/>
              </w:rPr>
              <w:t>本</w:t>
            </w:r>
            <w:r>
              <w:rPr>
                <w:rFonts w:hint="eastAsia"/>
                <w:spacing w:val="-2"/>
                <w:lang w:eastAsia="zh-CN"/>
              </w:rPr>
              <w:t>文件</w:t>
            </w:r>
            <w:r>
              <w:rPr>
                <w:spacing w:val="-2"/>
                <w:lang w:eastAsia="zh-CN"/>
              </w:rPr>
              <w:t>内容给出</w:t>
            </w:r>
            <w:r>
              <w:rPr>
                <w:rFonts w:hint="eastAsia"/>
                <w:spacing w:val="-2"/>
                <w:lang w:eastAsia="zh-CN"/>
              </w:rPr>
              <w:t>文化服务类生态产品评价的生态本底、生态和谐、资源和要素保障、生态文化服务、服务质量管理及服务安全保障具体要求，并给出了配套评价表单，</w:t>
            </w:r>
            <w:r>
              <w:rPr>
                <w:rFonts w:hint="eastAsia"/>
                <w:spacing w:val="-1"/>
                <w:lang w:eastAsia="zh-CN"/>
              </w:rPr>
              <w:t>可结合《生态产品评价》 第1部分：总则和第2部分：价值评价共同使用</w:t>
            </w:r>
            <w:r>
              <w:rPr>
                <w:spacing w:val="-1"/>
                <w:lang w:eastAsia="zh-CN"/>
              </w:rPr>
              <w:t>，具有</w:t>
            </w:r>
            <w:r>
              <w:rPr>
                <w:rFonts w:hint="eastAsia"/>
                <w:spacing w:val="-1"/>
                <w:lang w:eastAsia="zh-CN"/>
              </w:rPr>
              <w:t>较强</w:t>
            </w:r>
            <w:r>
              <w:rPr>
                <w:spacing w:val="-1"/>
                <w:lang w:eastAsia="zh-CN"/>
              </w:rPr>
              <w:t>的可操作性。</w:t>
            </w:r>
          </w:p>
        </w:tc>
      </w:tr>
      <w:tr w14:paraId="1C4C4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6" w:hRule="atLeast"/>
        </w:trPr>
        <w:tc>
          <w:tcPr>
            <w:tcW w:w="1708" w:type="dxa"/>
          </w:tcPr>
          <w:p w14:paraId="65A8FA05">
            <w:pPr>
              <w:spacing w:line="262" w:lineRule="auto"/>
              <w:rPr>
                <w:lang w:eastAsia="zh-CN"/>
              </w:rPr>
            </w:pPr>
          </w:p>
          <w:p w14:paraId="1E8C84E9">
            <w:pPr>
              <w:spacing w:line="262" w:lineRule="auto"/>
              <w:rPr>
                <w:lang w:eastAsia="zh-CN"/>
              </w:rPr>
            </w:pPr>
          </w:p>
          <w:p w14:paraId="0FD39220">
            <w:pPr>
              <w:spacing w:line="262" w:lineRule="auto"/>
              <w:rPr>
                <w:lang w:eastAsia="zh-CN"/>
              </w:rPr>
            </w:pPr>
          </w:p>
          <w:p w14:paraId="429980EF">
            <w:pPr>
              <w:spacing w:line="262" w:lineRule="auto"/>
              <w:rPr>
                <w:lang w:eastAsia="zh-CN"/>
              </w:rPr>
            </w:pPr>
          </w:p>
          <w:p w14:paraId="15F42A37">
            <w:pPr>
              <w:spacing w:line="262" w:lineRule="auto"/>
              <w:rPr>
                <w:lang w:eastAsia="zh-CN"/>
              </w:rPr>
            </w:pPr>
          </w:p>
          <w:p w14:paraId="53044E34">
            <w:pPr>
              <w:spacing w:line="262" w:lineRule="auto"/>
              <w:rPr>
                <w:lang w:eastAsia="zh-CN"/>
              </w:rPr>
            </w:pPr>
          </w:p>
          <w:p w14:paraId="67391301">
            <w:pPr>
              <w:spacing w:line="262" w:lineRule="auto"/>
              <w:rPr>
                <w:lang w:eastAsia="zh-CN"/>
              </w:rPr>
            </w:pPr>
          </w:p>
          <w:p w14:paraId="139AFFB5">
            <w:pPr>
              <w:spacing w:line="262" w:lineRule="auto"/>
              <w:rPr>
                <w:lang w:eastAsia="zh-CN"/>
              </w:rPr>
            </w:pPr>
          </w:p>
          <w:p w14:paraId="3C507D46">
            <w:pPr>
              <w:spacing w:line="263" w:lineRule="auto"/>
              <w:rPr>
                <w:lang w:eastAsia="zh-CN"/>
              </w:rPr>
            </w:pPr>
          </w:p>
          <w:p w14:paraId="76E2BAF2">
            <w:pPr>
              <w:spacing w:line="263" w:lineRule="auto"/>
              <w:rPr>
                <w:lang w:eastAsia="zh-CN"/>
              </w:rPr>
            </w:pPr>
          </w:p>
          <w:p w14:paraId="732AD1EB">
            <w:pPr>
              <w:pStyle w:val="7"/>
              <w:spacing w:before="69" w:line="221" w:lineRule="auto"/>
              <w:ind w:left="116"/>
              <w:rPr>
                <w:rFonts w:hint="eastAsia"/>
                <w:lang w:eastAsia="zh-CN"/>
              </w:rPr>
            </w:pPr>
            <w:r>
              <w:rPr>
                <w:spacing w:val="1"/>
                <w:lang w:eastAsia="zh-CN"/>
              </w:rPr>
              <w:t>确定标准主要内</w:t>
            </w:r>
          </w:p>
          <w:p w14:paraId="4CC415E3">
            <w:pPr>
              <w:pStyle w:val="7"/>
              <w:spacing w:before="60" w:line="221" w:lineRule="auto"/>
              <w:ind w:left="118"/>
              <w:rPr>
                <w:rFonts w:hint="eastAsia"/>
                <w:lang w:eastAsia="zh-CN"/>
              </w:rPr>
            </w:pPr>
            <w:r>
              <w:rPr>
                <w:spacing w:val="-2"/>
                <w:lang w:eastAsia="zh-CN"/>
              </w:rPr>
              <w:t>容的论据</w:t>
            </w:r>
          </w:p>
        </w:tc>
        <w:tc>
          <w:tcPr>
            <w:tcW w:w="7666" w:type="dxa"/>
            <w:gridSpan w:val="2"/>
          </w:tcPr>
          <w:p w14:paraId="19888680">
            <w:pPr>
              <w:pStyle w:val="7"/>
              <w:spacing w:before="211" w:line="235" w:lineRule="auto"/>
              <w:ind w:left="128"/>
              <w:rPr>
                <w:rFonts w:hint="eastAsia"/>
                <w:lang w:eastAsia="zh-CN"/>
              </w:rPr>
            </w:pPr>
            <w:r>
              <w:rPr>
                <w:rFonts w:ascii="Times New Roman" w:hAnsi="Times New Roman" w:eastAsia="Times New Roman" w:cs="Times New Roman"/>
                <w:spacing w:val="-14"/>
                <w:lang w:eastAsia="zh-CN"/>
              </w:rPr>
              <w:t>1</w:t>
            </w:r>
            <w:r>
              <w:rPr>
                <w:rFonts w:ascii="Times New Roman" w:hAnsi="Times New Roman" w:eastAsia="Times New Roman" w:cs="Times New Roman"/>
                <w:spacing w:val="-27"/>
                <w:lang w:eastAsia="zh-CN"/>
              </w:rPr>
              <w:t xml:space="preserve"> </w:t>
            </w:r>
            <w:r>
              <w:rPr>
                <w:spacing w:val="-14"/>
                <w:lang w:eastAsia="zh-CN"/>
              </w:rPr>
              <w:t>、范围</w:t>
            </w:r>
          </w:p>
          <w:p w14:paraId="259C9898">
            <w:pPr>
              <w:pStyle w:val="7"/>
              <w:spacing w:before="199" w:line="276" w:lineRule="auto"/>
              <w:ind w:left="113" w:right="259" w:firstLine="419"/>
              <w:jc w:val="both"/>
              <w:rPr>
                <w:rFonts w:hint="eastAsia"/>
                <w:lang w:eastAsia="zh-CN"/>
              </w:rPr>
            </w:pPr>
            <w:r>
              <w:rPr>
                <w:lang w:eastAsia="zh-CN"/>
              </w:rPr>
              <w:t>本部分</w:t>
            </w:r>
            <w:r>
              <w:rPr>
                <w:rFonts w:hint="eastAsia"/>
                <w:lang w:eastAsia="zh-CN"/>
              </w:rPr>
              <w:t>给出了文化服务类生态产品评价的术语和定义、生态本底、生态和谐、资源和要素保障、生态文化服务、服务质量管理及服务安全保障相关要求，适用于提供生态旅游、生态住宿、康养疗养、生态教育、精神文化审美等生态文化服务的相关主体开展文化服务类生态产品的评价。</w:t>
            </w:r>
          </w:p>
          <w:p w14:paraId="0396CCA0">
            <w:pPr>
              <w:pStyle w:val="7"/>
              <w:spacing w:before="151" w:line="234" w:lineRule="auto"/>
              <w:ind w:left="108"/>
              <w:rPr>
                <w:rFonts w:hint="eastAsia"/>
                <w:lang w:eastAsia="zh-CN"/>
              </w:rPr>
            </w:pPr>
            <w:r>
              <w:rPr>
                <w:rFonts w:ascii="Times New Roman" w:hAnsi="Times New Roman" w:eastAsia="Times New Roman" w:cs="Times New Roman"/>
                <w:spacing w:val="-4"/>
                <w:lang w:eastAsia="zh-CN"/>
              </w:rPr>
              <w:t>2</w:t>
            </w:r>
            <w:r>
              <w:rPr>
                <w:rFonts w:ascii="Times New Roman" w:hAnsi="Times New Roman" w:eastAsia="Times New Roman" w:cs="Times New Roman"/>
                <w:spacing w:val="-27"/>
                <w:lang w:eastAsia="zh-CN"/>
              </w:rPr>
              <w:t xml:space="preserve"> </w:t>
            </w:r>
            <w:r>
              <w:rPr>
                <w:spacing w:val="-4"/>
                <w:lang w:eastAsia="zh-CN"/>
              </w:rPr>
              <w:t>、规范性引用文件</w:t>
            </w:r>
          </w:p>
          <w:p w14:paraId="4B34BB97">
            <w:pPr>
              <w:pStyle w:val="7"/>
              <w:spacing w:before="199" w:line="271" w:lineRule="auto"/>
              <w:ind w:left="108" w:right="102" w:firstLine="426"/>
              <w:jc w:val="both"/>
              <w:rPr>
                <w:rFonts w:hint="eastAsia"/>
                <w:lang w:eastAsia="zh-CN"/>
              </w:rPr>
            </w:pPr>
            <w:r>
              <w:rPr>
                <w:rFonts w:hint="eastAsia"/>
                <w:spacing w:val="-1"/>
                <w:lang w:eastAsia="zh-CN"/>
              </w:rPr>
              <w:t>本文件引用的主要标准有《安全标志及其使用导则》（GB 2894）、《环境空气质量标准》（GB 3095）、《声环境质量标准》（GB 3096）等18个标准</w:t>
            </w:r>
            <w:r>
              <w:rPr>
                <w:spacing w:val="-1"/>
                <w:lang w:eastAsia="zh-CN"/>
              </w:rPr>
              <w:t>。</w:t>
            </w:r>
          </w:p>
          <w:p w14:paraId="410D62CD">
            <w:pPr>
              <w:pStyle w:val="7"/>
              <w:spacing w:before="170" w:line="234" w:lineRule="auto"/>
              <w:ind w:left="112"/>
              <w:rPr>
                <w:rFonts w:hint="eastAsia"/>
                <w:lang w:eastAsia="zh-CN"/>
              </w:rPr>
            </w:pPr>
            <w:r>
              <w:rPr>
                <w:rFonts w:ascii="Times New Roman" w:hAnsi="Times New Roman" w:eastAsia="Times New Roman" w:cs="Times New Roman"/>
                <w:spacing w:val="-6"/>
                <w:lang w:eastAsia="zh-CN"/>
              </w:rPr>
              <w:t>3</w:t>
            </w:r>
            <w:r>
              <w:rPr>
                <w:rFonts w:ascii="Times New Roman" w:hAnsi="Times New Roman" w:eastAsia="Times New Roman" w:cs="Times New Roman"/>
                <w:spacing w:val="-26"/>
                <w:lang w:eastAsia="zh-CN"/>
              </w:rPr>
              <w:t xml:space="preserve"> </w:t>
            </w:r>
            <w:r>
              <w:rPr>
                <w:spacing w:val="-6"/>
                <w:lang w:eastAsia="zh-CN"/>
              </w:rPr>
              <w:t>、术语和定义</w:t>
            </w:r>
          </w:p>
          <w:p w14:paraId="39942F3C">
            <w:pPr>
              <w:pStyle w:val="7"/>
              <w:spacing w:before="199" w:line="271" w:lineRule="auto"/>
              <w:ind w:left="108" w:right="102" w:firstLine="426"/>
              <w:jc w:val="both"/>
              <w:rPr>
                <w:rFonts w:hint="eastAsia"/>
                <w:lang w:eastAsia="zh-CN"/>
              </w:rPr>
            </w:pPr>
            <w:r>
              <w:rPr>
                <w:rFonts w:hint="eastAsia"/>
                <w:lang w:eastAsia="zh-CN"/>
              </w:rPr>
              <w:t>在</w:t>
            </w:r>
            <w:r>
              <w:rPr>
                <w:lang w:eastAsia="zh-CN"/>
              </w:rPr>
              <w:t>参考</w:t>
            </w:r>
            <w:r>
              <w:rPr>
                <w:rFonts w:hint="eastAsia"/>
                <w:lang w:eastAsia="zh-CN"/>
              </w:rPr>
              <w:t>《国家级生态旅游区运营管理规范》（GB/T 26362）、《生态产品总值核算规范（试行）》及各行业、各地生态产品或生态系统服务总值相关标准的基础上，结合前期实践基础，给出了生态旅游、生态住宿、康养疗养、生态教育、精神审美5个主要文化服务类生态产品的术语和定义</w:t>
            </w:r>
            <w:r>
              <w:rPr>
                <w:spacing w:val="-1"/>
                <w:lang w:eastAsia="zh-CN"/>
              </w:rPr>
              <w:t>。</w:t>
            </w:r>
          </w:p>
          <w:p w14:paraId="04E4E5B2">
            <w:pPr>
              <w:pStyle w:val="7"/>
              <w:spacing w:before="218" w:line="234" w:lineRule="auto"/>
              <w:ind w:left="107"/>
              <w:rPr>
                <w:rFonts w:hint="eastAsia"/>
                <w:lang w:eastAsia="zh-CN"/>
              </w:rPr>
            </w:pPr>
            <w:r>
              <w:rPr>
                <w:rFonts w:ascii="Times New Roman" w:hAnsi="Times New Roman" w:eastAsia="Times New Roman" w:cs="Times New Roman"/>
                <w:spacing w:val="-4"/>
                <w:lang w:eastAsia="zh-CN"/>
              </w:rPr>
              <w:t>4</w:t>
            </w:r>
            <w:r>
              <w:rPr>
                <w:rFonts w:ascii="Times New Roman" w:hAnsi="Times New Roman" w:eastAsia="Times New Roman" w:cs="Times New Roman"/>
                <w:spacing w:val="-25"/>
                <w:lang w:eastAsia="zh-CN"/>
              </w:rPr>
              <w:t xml:space="preserve"> </w:t>
            </w:r>
            <w:r>
              <w:rPr>
                <w:spacing w:val="-4"/>
                <w:lang w:eastAsia="zh-CN"/>
              </w:rPr>
              <w:t>、</w:t>
            </w:r>
            <w:r>
              <w:rPr>
                <w:rFonts w:hint="eastAsia"/>
                <w:spacing w:val="-4"/>
                <w:lang w:eastAsia="zh-CN"/>
              </w:rPr>
              <w:t>生态本底要求</w:t>
            </w:r>
          </w:p>
          <w:p w14:paraId="5C4C896C">
            <w:pPr>
              <w:pStyle w:val="7"/>
              <w:spacing w:before="202" w:line="276" w:lineRule="auto"/>
              <w:ind w:left="115" w:right="102" w:firstLine="418"/>
              <w:rPr>
                <w:rFonts w:hint="eastAsia"/>
                <w:lang w:eastAsia="zh-CN"/>
              </w:rPr>
            </w:pPr>
            <w:r>
              <w:rPr>
                <w:rFonts w:hint="eastAsia"/>
                <w:spacing w:val="-1"/>
                <w:lang w:eastAsia="zh-CN"/>
              </w:rPr>
              <w:t>从生态质量、环境质量两个维度提出了开展生态产品评价应具有的生态系统质量、环境质量要求</w:t>
            </w:r>
            <w:r>
              <w:rPr>
                <w:spacing w:val="-1"/>
                <w:lang w:eastAsia="zh-CN"/>
              </w:rPr>
              <w:t>。</w:t>
            </w:r>
          </w:p>
          <w:p w14:paraId="7F40D111">
            <w:pPr>
              <w:pStyle w:val="7"/>
              <w:numPr>
                <w:ilvl w:val="0"/>
                <w:numId w:val="2"/>
              </w:numPr>
              <w:spacing w:before="151" w:line="234" w:lineRule="auto"/>
              <w:ind w:left="113"/>
              <w:rPr>
                <w:rFonts w:hint="eastAsia"/>
                <w:spacing w:val="-2"/>
                <w:lang w:eastAsia="zh-CN"/>
              </w:rPr>
            </w:pPr>
            <w:r>
              <w:rPr>
                <w:rFonts w:hint="eastAsia"/>
                <w:spacing w:val="-2"/>
                <w:lang w:eastAsia="zh-CN"/>
              </w:rPr>
              <w:t>生态和谐要求</w:t>
            </w:r>
          </w:p>
          <w:p w14:paraId="74A17B66">
            <w:pPr>
              <w:pStyle w:val="7"/>
              <w:spacing w:before="151" w:line="234" w:lineRule="auto"/>
              <w:rPr>
                <w:rFonts w:hint="eastAsia"/>
                <w:spacing w:val="-2"/>
                <w:lang w:eastAsia="zh-CN"/>
              </w:rPr>
            </w:pPr>
            <w:r>
              <w:rPr>
                <w:rFonts w:hint="eastAsia"/>
                <w:spacing w:val="-2"/>
                <w:lang w:eastAsia="zh-CN"/>
              </w:rPr>
              <w:t xml:space="preserve">     从生态保护、资源节约、绿色低碳、社会友好四个维度对各文化服务类生态产品运营主体提出了经营管理具体要求。</w:t>
            </w:r>
          </w:p>
          <w:p w14:paraId="7207EC91">
            <w:pPr>
              <w:pStyle w:val="7"/>
              <w:numPr>
                <w:ilvl w:val="0"/>
                <w:numId w:val="2"/>
              </w:numPr>
              <w:spacing w:before="151" w:line="234" w:lineRule="auto"/>
              <w:ind w:left="113"/>
              <w:rPr>
                <w:rFonts w:hint="eastAsia"/>
                <w:spacing w:val="-2"/>
                <w:lang w:eastAsia="zh-CN"/>
              </w:rPr>
            </w:pPr>
            <w:r>
              <w:rPr>
                <w:rFonts w:hint="eastAsia"/>
                <w:spacing w:val="-2"/>
                <w:lang w:eastAsia="zh-CN"/>
              </w:rPr>
              <w:t>资源要素保障</w:t>
            </w:r>
          </w:p>
          <w:p w14:paraId="350B61E6">
            <w:pPr>
              <w:pStyle w:val="7"/>
              <w:spacing w:before="151" w:line="234" w:lineRule="auto"/>
              <w:rPr>
                <w:rFonts w:hint="eastAsia"/>
                <w:spacing w:val="-2"/>
                <w:lang w:eastAsia="zh-CN"/>
              </w:rPr>
            </w:pPr>
            <w:r>
              <w:rPr>
                <w:rFonts w:hint="eastAsia"/>
                <w:spacing w:val="-2"/>
                <w:lang w:eastAsia="zh-CN"/>
              </w:rPr>
              <w:t xml:space="preserve">    从基础服务设施、环境卫生服务设施、服务设施设备、管理及服务人员四个温度对文化服务类生态产品管理运营主体提出了具体要求，确保相关资源能有效保障主营服务产品的有效开展。</w:t>
            </w:r>
          </w:p>
          <w:p w14:paraId="10B78BB3">
            <w:pPr>
              <w:pStyle w:val="7"/>
              <w:numPr>
                <w:ilvl w:val="0"/>
                <w:numId w:val="2"/>
              </w:numPr>
              <w:spacing w:before="151" w:line="234" w:lineRule="auto"/>
              <w:ind w:left="113"/>
              <w:rPr>
                <w:rFonts w:hint="eastAsia"/>
                <w:spacing w:val="-2"/>
                <w:lang w:eastAsia="zh-CN"/>
              </w:rPr>
            </w:pPr>
            <w:r>
              <w:rPr>
                <w:rFonts w:hint="eastAsia"/>
                <w:spacing w:val="-2"/>
                <w:lang w:eastAsia="zh-CN"/>
              </w:rPr>
              <w:t>生态文化服务</w:t>
            </w:r>
          </w:p>
          <w:p w14:paraId="6C770F04">
            <w:pPr>
              <w:pStyle w:val="7"/>
              <w:spacing w:before="151" w:line="234" w:lineRule="auto"/>
              <w:rPr>
                <w:rFonts w:hint="eastAsia"/>
                <w:spacing w:val="-2"/>
                <w:lang w:eastAsia="zh-CN"/>
              </w:rPr>
            </w:pPr>
            <w:r>
              <w:rPr>
                <w:rFonts w:hint="eastAsia"/>
                <w:spacing w:val="-2"/>
                <w:lang w:eastAsia="zh-CN"/>
              </w:rPr>
              <w:t xml:space="preserve">    按照基本服务要求和生态特色服务两大内容，分别对生态旅游、生态住宿、康养疗养、生态教育、精神文化审美五类运营主体提出具体要求，</w:t>
            </w:r>
          </w:p>
          <w:p w14:paraId="2E88071D">
            <w:pPr>
              <w:pStyle w:val="7"/>
              <w:numPr>
                <w:ilvl w:val="0"/>
                <w:numId w:val="2"/>
              </w:numPr>
              <w:spacing w:before="151" w:line="234" w:lineRule="auto"/>
              <w:ind w:left="113"/>
              <w:rPr>
                <w:rFonts w:hint="eastAsia"/>
                <w:spacing w:val="-2"/>
                <w:lang w:eastAsia="zh-CN"/>
              </w:rPr>
            </w:pPr>
            <w:r>
              <w:rPr>
                <w:rFonts w:hint="eastAsia"/>
                <w:spacing w:val="-2"/>
                <w:lang w:eastAsia="zh-CN"/>
              </w:rPr>
              <w:t>服务质量管理</w:t>
            </w:r>
          </w:p>
          <w:p w14:paraId="3385A459">
            <w:pPr>
              <w:pStyle w:val="7"/>
              <w:spacing w:before="151" w:line="234" w:lineRule="auto"/>
              <w:rPr>
                <w:rFonts w:hint="eastAsia"/>
                <w:spacing w:val="-2"/>
                <w:lang w:eastAsia="zh-CN"/>
              </w:rPr>
            </w:pPr>
            <w:r>
              <w:rPr>
                <w:rFonts w:hint="eastAsia"/>
                <w:spacing w:val="-2"/>
                <w:lang w:eastAsia="zh-CN"/>
              </w:rPr>
              <w:t xml:space="preserve">    从服务满意、服务意见建议收集及评价和服务绩效三大维度，提出了文化服务类各运营主体服务质量管理评价的具体要求。</w:t>
            </w:r>
          </w:p>
          <w:p w14:paraId="28FEC8BE">
            <w:pPr>
              <w:pStyle w:val="7"/>
              <w:numPr>
                <w:ilvl w:val="0"/>
                <w:numId w:val="2"/>
              </w:numPr>
              <w:spacing w:before="151" w:line="234" w:lineRule="auto"/>
              <w:ind w:left="113"/>
              <w:rPr>
                <w:rFonts w:hint="eastAsia"/>
                <w:spacing w:val="-2"/>
                <w:lang w:eastAsia="zh-CN"/>
              </w:rPr>
            </w:pPr>
            <w:r>
              <w:rPr>
                <w:rFonts w:hint="eastAsia"/>
                <w:spacing w:val="-2"/>
                <w:lang w:eastAsia="zh-CN"/>
              </w:rPr>
              <w:t>服务安全保障</w:t>
            </w:r>
          </w:p>
          <w:p w14:paraId="5167F5C4">
            <w:pPr>
              <w:pStyle w:val="7"/>
              <w:spacing w:before="151" w:line="234" w:lineRule="auto"/>
              <w:rPr>
                <w:rFonts w:hint="eastAsia"/>
                <w:spacing w:val="-2"/>
                <w:lang w:eastAsia="zh-CN"/>
              </w:rPr>
            </w:pPr>
            <w:r>
              <w:rPr>
                <w:rFonts w:hint="eastAsia"/>
                <w:spacing w:val="-2"/>
                <w:lang w:eastAsia="zh-CN"/>
              </w:rPr>
              <w:t xml:space="preserve">    从安全管理体系、安全设施设备、安全教育培训和顾客安全管理四大维度，提出了文化服务类各运营主体服务安全保障应满足的具体要求。</w:t>
            </w:r>
          </w:p>
        </w:tc>
      </w:tr>
      <w:tr w14:paraId="69137C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52" w:type="dxa"/>
          <w:trHeight w:val="628" w:hRule="atLeast"/>
        </w:trPr>
        <w:tc>
          <w:tcPr>
            <w:tcW w:w="9222" w:type="dxa"/>
            <w:gridSpan w:val="2"/>
          </w:tcPr>
          <w:p w14:paraId="35DC8CD4">
            <w:pPr>
              <w:pStyle w:val="7"/>
              <w:spacing w:before="173" w:line="220" w:lineRule="auto"/>
              <w:ind w:left="1391"/>
              <w:rPr>
                <w:rFonts w:hint="eastAsia"/>
                <w:sz w:val="28"/>
                <w:szCs w:val="28"/>
                <w:lang w:eastAsia="zh-CN"/>
              </w:rPr>
            </w:pPr>
            <w:r>
              <w:rPr>
                <w:b/>
                <w:bCs/>
                <w:spacing w:val="-3"/>
                <w:sz w:val="28"/>
                <w:szCs w:val="28"/>
                <w:lang w:eastAsia="zh-CN"/>
              </w:rPr>
              <w:t>与现行法律法规、强制性标准和其他有关标准的关系</w:t>
            </w:r>
          </w:p>
        </w:tc>
      </w:tr>
      <w:tr w14:paraId="34FA2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52" w:type="dxa"/>
          <w:trHeight w:val="1658" w:hRule="atLeast"/>
        </w:trPr>
        <w:tc>
          <w:tcPr>
            <w:tcW w:w="1708" w:type="dxa"/>
          </w:tcPr>
          <w:p w14:paraId="2B8DD309">
            <w:pPr>
              <w:spacing w:line="249" w:lineRule="auto"/>
              <w:rPr>
                <w:lang w:eastAsia="zh-CN"/>
              </w:rPr>
            </w:pPr>
          </w:p>
          <w:p w14:paraId="7AE5B9F6">
            <w:pPr>
              <w:spacing w:line="249" w:lineRule="auto"/>
              <w:rPr>
                <w:lang w:eastAsia="zh-CN"/>
              </w:rPr>
            </w:pPr>
          </w:p>
          <w:p w14:paraId="5A1C0D53">
            <w:pPr>
              <w:pStyle w:val="7"/>
              <w:spacing w:before="68" w:line="277" w:lineRule="auto"/>
              <w:ind w:left="117" w:right="108" w:hanging="1"/>
              <w:rPr>
                <w:rFonts w:hint="eastAsia"/>
                <w:lang w:eastAsia="zh-CN"/>
              </w:rPr>
            </w:pPr>
            <w:r>
              <w:rPr>
                <w:spacing w:val="1"/>
                <w:lang w:eastAsia="zh-CN"/>
              </w:rPr>
              <w:t>法律法规和强制</w:t>
            </w:r>
            <w:r>
              <w:rPr>
                <w:lang w:eastAsia="zh-CN"/>
              </w:rPr>
              <w:t xml:space="preserve"> </w:t>
            </w:r>
            <w:r>
              <w:rPr>
                <w:spacing w:val="-2"/>
                <w:lang w:eastAsia="zh-CN"/>
              </w:rPr>
              <w:t>性标准的关系</w:t>
            </w:r>
          </w:p>
        </w:tc>
        <w:tc>
          <w:tcPr>
            <w:tcW w:w="7514" w:type="dxa"/>
          </w:tcPr>
          <w:p w14:paraId="013805D8">
            <w:pPr>
              <w:spacing w:line="344" w:lineRule="auto"/>
              <w:rPr>
                <w:lang w:eastAsia="zh-CN"/>
              </w:rPr>
            </w:pPr>
          </w:p>
          <w:p w14:paraId="5D44D708">
            <w:pPr>
              <w:pStyle w:val="7"/>
              <w:spacing w:before="68" w:line="270" w:lineRule="auto"/>
              <w:ind w:left="111" w:right="102" w:firstLine="421"/>
              <w:jc w:val="both"/>
              <w:rPr>
                <w:rFonts w:hint="eastAsia"/>
                <w:lang w:eastAsia="zh-CN"/>
              </w:rPr>
            </w:pPr>
            <w:r>
              <w:rPr>
                <w:spacing w:val="-4"/>
                <w:lang w:eastAsia="zh-CN"/>
              </w:rPr>
              <w:t>本文件的</w:t>
            </w:r>
            <w:r>
              <w:rPr>
                <w:rFonts w:hint="eastAsia"/>
                <w:spacing w:val="-4"/>
                <w:lang w:eastAsia="zh-CN"/>
              </w:rPr>
              <w:t>是在参考国家生态产品总值核算、食品安全、生态环境及国家合格评定相关标准的上制定的，遵循了现行有关的法律法规、价值核算、食品安全国家标准、生态环境相关强制性标准和其他政策文件的规定。</w:t>
            </w:r>
          </w:p>
        </w:tc>
      </w:tr>
      <w:tr w14:paraId="0065E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52" w:type="dxa"/>
          <w:trHeight w:val="1232" w:hRule="atLeast"/>
        </w:trPr>
        <w:tc>
          <w:tcPr>
            <w:tcW w:w="1708" w:type="dxa"/>
          </w:tcPr>
          <w:p w14:paraId="7B49ADBA">
            <w:pPr>
              <w:pStyle w:val="7"/>
              <w:spacing w:before="53" w:line="248" w:lineRule="auto"/>
              <w:ind w:left="133" w:right="108" w:hanging="13"/>
              <w:rPr>
                <w:rFonts w:hint="eastAsia"/>
                <w:lang w:eastAsia="zh-CN"/>
              </w:rPr>
            </w:pPr>
          </w:p>
          <w:p w14:paraId="549AB64D">
            <w:pPr>
              <w:pStyle w:val="7"/>
              <w:spacing w:before="53" w:line="248" w:lineRule="auto"/>
              <w:ind w:left="133" w:right="108" w:hanging="13"/>
              <w:rPr>
                <w:rFonts w:hint="eastAsia"/>
                <w:lang w:eastAsia="zh-CN"/>
              </w:rPr>
            </w:pPr>
            <w:r>
              <w:rPr>
                <w:lang w:eastAsia="zh-CN"/>
              </w:rPr>
              <w:t>与其他有关标准</w:t>
            </w:r>
            <w:r>
              <w:rPr>
                <w:spacing w:val="3"/>
                <w:lang w:eastAsia="zh-CN"/>
              </w:rPr>
              <w:t xml:space="preserve"> </w:t>
            </w:r>
            <w:r>
              <w:rPr>
                <w:spacing w:val="-5"/>
                <w:lang w:eastAsia="zh-CN"/>
              </w:rPr>
              <w:t>的关系</w:t>
            </w:r>
          </w:p>
        </w:tc>
        <w:tc>
          <w:tcPr>
            <w:tcW w:w="7514" w:type="dxa"/>
          </w:tcPr>
          <w:p w14:paraId="4E507A05">
            <w:pPr>
              <w:pStyle w:val="7"/>
              <w:spacing w:before="210" w:line="221" w:lineRule="auto"/>
              <w:ind w:firstLine="420" w:firstLineChars="200"/>
              <w:rPr>
                <w:rFonts w:hint="eastAsia"/>
                <w:lang w:eastAsia="zh-CN"/>
              </w:rPr>
            </w:pPr>
            <w:r>
              <w:rPr>
                <w:rFonts w:hint="eastAsia"/>
                <w:lang w:eastAsia="zh-CN"/>
              </w:rPr>
              <w:t>通过检索“国家标准信息公共服务平台”“行业标准信息服务平台”“地方标准信息服务平台”“全国团体标准信息平台”，尚无相关或相似的国家、行业、地方、团体标准。</w:t>
            </w:r>
          </w:p>
        </w:tc>
      </w:tr>
      <w:tr w14:paraId="2A99AF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52" w:type="dxa"/>
          <w:trHeight w:val="630" w:hRule="atLeast"/>
        </w:trPr>
        <w:tc>
          <w:tcPr>
            <w:tcW w:w="9222" w:type="dxa"/>
            <w:gridSpan w:val="2"/>
          </w:tcPr>
          <w:p w14:paraId="6076048E">
            <w:pPr>
              <w:pStyle w:val="7"/>
              <w:spacing w:before="178" w:line="219" w:lineRule="auto"/>
              <w:ind w:left="2652"/>
              <w:rPr>
                <w:rFonts w:hint="eastAsia"/>
                <w:sz w:val="28"/>
                <w:szCs w:val="28"/>
                <w:lang w:eastAsia="zh-CN"/>
              </w:rPr>
            </w:pPr>
            <w:r>
              <w:rPr>
                <w:b/>
                <w:bCs/>
                <w:spacing w:val="-3"/>
                <w:sz w:val="28"/>
                <w:szCs w:val="28"/>
                <w:lang w:eastAsia="zh-CN"/>
              </w:rPr>
              <w:t>重大分歧意见的处理经过和依据</w:t>
            </w:r>
          </w:p>
        </w:tc>
      </w:tr>
      <w:tr w14:paraId="21359B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52" w:type="dxa"/>
          <w:trHeight w:val="628" w:hRule="atLeast"/>
        </w:trPr>
        <w:tc>
          <w:tcPr>
            <w:tcW w:w="9222" w:type="dxa"/>
            <w:gridSpan w:val="2"/>
          </w:tcPr>
          <w:p w14:paraId="64F18985">
            <w:pPr>
              <w:pStyle w:val="7"/>
              <w:spacing w:before="56" w:line="221" w:lineRule="auto"/>
              <w:ind w:left="117"/>
              <w:rPr>
                <w:rFonts w:hint="eastAsia"/>
              </w:rPr>
            </w:pPr>
            <w:r>
              <w:t>无</w:t>
            </w:r>
          </w:p>
        </w:tc>
      </w:tr>
      <w:tr w14:paraId="5177E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52" w:type="dxa"/>
          <w:trHeight w:val="629" w:hRule="atLeast"/>
        </w:trPr>
        <w:tc>
          <w:tcPr>
            <w:tcW w:w="9222" w:type="dxa"/>
            <w:gridSpan w:val="2"/>
          </w:tcPr>
          <w:p w14:paraId="209A1081">
            <w:pPr>
              <w:pStyle w:val="7"/>
              <w:spacing w:before="177" w:line="220" w:lineRule="auto"/>
              <w:ind w:left="2797"/>
              <w:rPr>
                <w:rFonts w:hint="eastAsia"/>
                <w:sz w:val="28"/>
                <w:szCs w:val="28"/>
                <w:lang w:eastAsia="zh-CN"/>
              </w:rPr>
            </w:pPr>
            <w:r>
              <w:rPr>
                <w:b/>
                <w:bCs/>
                <w:spacing w:val="-4"/>
                <w:sz w:val="28"/>
                <w:szCs w:val="28"/>
                <w:lang w:eastAsia="zh-CN"/>
              </w:rPr>
              <w:t>贯彻该标准的要求和措施建议</w:t>
            </w:r>
          </w:p>
        </w:tc>
      </w:tr>
      <w:tr w14:paraId="33D85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52" w:type="dxa"/>
          <w:trHeight w:val="945" w:hRule="atLeast"/>
        </w:trPr>
        <w:tc>
          <w:tcPr>
            <w:tcW w:w="9222" w:type="dxa"/>
            <w:gridSpan w:val="2"/>
          </w:tcPr>
          <w:p w14:paraId="0068141D">
            <w:pPr>
              <w:pStyle w:val="7"/>
              <w:spacing w:before="57" w:line="268" w:lineRule="auto"/>
              <w:ind w:left="119" w:right="107" w:firstLine="419"/>
              <w:rPr>
                <w:rFonts w:hint="eastAsia"/>
                <w:lang w:eastAsia="zh-CN"/>
              </w:rPr>
            </w:pPr>
            <w:r>
              <w:rPr>
                <w:rFonts w:hint="eastAsia"/>
                <w:lang w:eastAsia="zh-CN"/>
              </w:rPr>
              <w:t>整合生态产品评价相关经营管理主体、技术主体、应用对象主体及主要交易主体立力量，形成生态产品评价专项工作小组，形成评价资源库，推动生态产品评价相关标准宣贯培训。选择区域基础条件好（生态优势明显、具备生态产品交易平台）、当地意愿高、有一定工作基础的项目，推进生态产品评价，对评价结果进行广泛宣传推广，提升生态产品评价的影响力；同时链接交易中心、金融机构等推进生态产品评价结果应用，促进生态产品价值转化。在此过程中，整理、收集相关方对生态产品评价系列标准的意见建议，不断修改完善相关标准，条件合适时将相关标准上升为国家、行业标准，助力生态产品评价规范发展。</w:t>
            </w:r>
          </w:p>
        </w:tc>
      </w:tr>
    </w:tbl>
    <w:p w14:paraId="0D14EE2C">
      <w:pPr>
        <w:rPr>
          <w:lang w:eastAsia="zh-CN"/>
        </w:rPr>
      </w:pPr>
    </w:p>
    <w:sectPr>
      <w:pgSz w:w="11907" w:h="16839"/>
      <w:pgMar w:top="1431" w:right="1310" w:bottom="0" w:left="136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EF3410"/>
    <w:multiLevelType w:val="singleLevel"/>
    <w:tmpl w:val="AEEF3410"/>
    <w:lvl w:ilvl="0" w:tentative="0">
      <w:start w:val="1"/>
      <w:numFmt w:val="decimal"/>
      <w:lvlText w:val="%1."/>
      <w:lvlJc w:val="left"/>
      <w:pPr>
        <w:ind w:left="425" w:hanging="425"/>
      </w:pPr>
      <w:rPr>
        <w:rFonts w:hint="default"/>
      </w:rPr>
    </w:lvl>
  </w:abstractNum>
  <w:abstractNum w:abstractNumId="1">
    <w:nsid w:val="C471CFAB"/>
    <w:multiLevelType w:val="singleLevel"/>
    <w:tmpl w:val="C471CFAB"/>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7C1553"/>
    <w:rsid w:val="001A5861"/>
    <w:rsid w:val="001F13F2"/>
    <w:rsid w:val="002B077E"/>
    <w:rsid w:val="002F2249"/>
    <w:rsid w:val="003525DC"/>
    <w:rsid w:val="005157B9"/>
    <w:rsid w:val="005E5698"/>
    <w:rsid w:val="00637B70"/>
    <w:rsid w:val="006A68AE"/>
    <w:rsid w:val="006C4386"/>
    <w:rsid w:val="00724566"/>
    <w:rsid w:val="007A7CFD"/>
    <w:rsid w:val="007C1553"/>
    <w:rsid w:val="00824D09"/>
    <w:rsid w:val="008C3A2D"/>
    <w:rsid w:val="00B236FB"/>
    <w:rsid w:val="00C42D7A"/>
    <w:rsid w:val="00D36E66"/>
    <w:rsid w:val="00D77CA9"/>
    <w:rsid w:val="00DF79EF"/>
    <w:rsid w:val="00E37EA4"/>
    <w:rsid w:val="00E52ACC"/>
    <w:rsid w:val="00E814A8"/>
    <w:rsid w:val="00EB68BB"/>
    <w:rsid w:val="00EC593F"/>
    <w:rsid w:val="00F43762"/>
    <w:rsid w:val="00F776A9"/>
    <w:rsid w:val="00F91570"/>
    <w:rsid w:val="00FD70E5"/>
    <w:rsid w:val="04AE6573"/>
    <w:rsid w:val="06640499"/>
    <w:rsid w:val="06E6018A"/>
    <w:rsid w:val="09E57B43"/>
    <w:rsid w:val="0BA53A2D"/>
    <w:rsid w:val="0BE46EF4"/>
    <w:rsid w:val="0DC57CC8"/>
    <w:rsid w:val="0F7A766B"/>
    <w:rsid w:val="102F7D69"/>
    <w:rsid w:val="1274141C"/>
    <w:rsid w:val="13F57B76"/>
    <w:rsid w:val="151829DD"/>
    <w:rsid w:val="159D4B97"/>
    <w:rsid w:val="18A14941"/>
    <w:rsid w:val="1A74451A"/>
    <w:rsid w:val="1B48540F"/>
    <w:rsid w:val="1D2A019D"/>
    <w:rsid w:val="21AE4866"/>
    <w:rsid w:val="21CC4606"/>
    <w:rsid w:val="238D2173"/>
    <w:rsid w:val="242E1C8E"/>
    <w:rsid w:val="24607E62"/>
    <w:rsid w:val="29C25353"/>
    <w:rsid w:val="2A856BE0"/>
    <w:rsid w:val="2BC07E46"/>
    <w:rsid w:val="2C351E0C"/>
    <w:rsid w:val="2C56701A"/>
    <w:rsid w:val="2F5E78CC"/>
    <w:rsid w:val="32DE38BE"/>
    <w:rsid w:val="32F860CE"/>
    <w:rsid w:val="35A7502C"/>
    <w:rsid w:val="366A4DA8"/>
    <w:rsid w:val="36CB6C73"/>
    <w:rsid w:val="379602EB"/>
    <w:rsid w:val="37DE4F22"/>
    <w:rsid w:val="397A6507"/>
    <w:rsid w:val="39D3299A"/>
    <w:rsid w:val="3AC52EF5"/>
    <w:rsid w:val="3B5953EB"/>
    <w:rsid w:val="3B7B35B3"/>
    <w:rsid w:val="3FE6685E"/>
    <w:rsid w:val="416F3BBA"/>
    <w:rsid w:val="42660B19"/>
    <w:rsid w:val="426E4AEA"/>
    <w:rsid w:val="43993170"/>
    <w:rsid w:val="439C056B"/>
    <w:rsid w:val="44AB4F09"/>
    <w:rsid w:val="49014607"/>
    <w:rsid w:val="493A7349"/>
    <w:rsid w:val="4A4F6337"/>
    <w:rsid w:val="4A9804CE"/>
    <w:rsid w:val="4B225EDD"/>
    <w:rsid w:val="4C7425D6"/>
    <w:rsid w:val="4FCE41A2"/>
    <w:rsid w:val="50295917"/>
    <w:rsid w:val="515E4352"/>
    <w:rsid w:val="528374C6"/>
    <w:rsid w:val="552328B1"/>
    <w:rsid w:val="56553C8D"/>
    <w:rsid w:val="592D018B"/>
    <w:rsid w:val="594A6647"/>
    <w:rsid w:val="59995821"/>
    <w:rsid w:val="5B653C0C"/>
    <w:rsid w:val="5BB83C6A"/>
    <w:rsid w:val="5FEB1323"/>
    <w:rsid w:val="6031230F"/>
    <w:rsid w:val="619C01E2"/>
    <w:rsid w:val="625E018B"/>
    <w:rsid w:val="6671682D"/>
    <w:rsid w:val="6BF84220"/>
    <w:rsid w:val="6C2D1448"/>
    <w:rsid w:val="6C6B6BA9"/>
    <w:rsid w:val="6C7D4538"/>
    <w:rsid w:val="6F3509A1"/>
    <w:rsid w:val="6F5E21BF"/>
    <w:rsid w:val="703D085C"/>
    <w:rsid w:val="73F6144E"/>
    <w:rsid w:val="746740F9"/>
    <w:rsid w:val="74B55EA7"/>
    <w:rsid w:val="75BB69C6"/>
    <w:rsid w:val="76EC4D8A"/>
    <w:rsid w:val="782D12A8"/>
    <w:rsid w:val="78994A9D"/>
    <w:rsid w:val="7BF24BF0"/>
    <w:rsid w:val="7DA63EE4"/>
    <w:rsid w:val="7DB23DFE"/>
    <w:rsid w:val="7DD02D0F"/>
    <w:rsid w:val="7F121106"/>
    <w:rsid w:val="7F1B7FBA"/>
    <w:rsid w:val="7F250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pPr>
    <w:rPr>
      <w:sz w:val="18"/>
      <w:szCs w:val="18"/>
    </w:rPr>
  </w:style>
  <w:style w:type="paragraph" w:styleId="3">
    <w:name w:val="header"/>
    <w:basedOn w:val="1"/>
    <w:link w:val="8"/>
    <w:qFormat/>
    <w:uiPriority w:val="0"/>
    <w:pPr>
      <w:tabs>
        <w:tab w:val="center" w:pos="4153"/>
        <w:tab w:val="right" w:pos="8306"/>
      </w:tabs>
      <w:jc w:val="center"/>
    </w:pPr>
    <w:rPr>
      <w:sz w:val="18"/>
      <w:szCs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rPr>
  </w:style>
  <w:style w:type="character" w:customStyle="1" w:styleId="8">
    <w:name w:val="页眉 字符"/>
    <w:basedOn w:val="5"/>
    <w:link w:val="3"/>
    <w:qFormat/>
    <w:uiPriority w:val="0"/>
    <w:rPr>
      <w:rFonts w:eastAsia="Arial"/>
      <w:snapToGrid w:val="0"/>
      <w:color w:val="000000"/>
      <w:sz w:val="18"/>
      <w:szCs w:val="18"/>
      <w:lang w:eastAsia="en-US"/>
    </w:rPr>
  </w:style>
  <w:style w:type="character" w:customStyle="1" w:styleId="9">
    <w:name w:val="页脚 字符"/>
    <w:basedOn w:val="5"/>
    <w:link w:val="2"/>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3859</Words>
  <Characters>4019</Characters>
  <Lines>30</Lines>
  <Paragraphs>8</Paragraphs>
  <TotalTime>0</TotalTime>
  <ScaleCrop>false</ScaleCrop>
  <LinksUpToDate>false</LinksUpToDate>
  <CharactersWithSpaces>4098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2023-11-22T08:47:00Z</dcterms:created>
  <dc:creator>闫 一凡</dc:creator>
  <cp:lastModifiedBy>邢慧洁</cp:lastModifiedBy>
  <dcterms:modified xsi:type="dcterms:W3CDTF">2025-08-11T00:52:45Z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2025-07-30T16:17:43Z</vt:filetime>
  </property>
  <property fmtid="{D5CDD505-2E9C-101B-9397-08002B2CF9AE}" pid="4" name="KSOTemplateDocerSaveRecord">
    <vt:lpwstr>eyJoZGlkIjoiMDliNGJmYTg5ZjJlMWNjYTM0ODI3NDNiODFmYjY1OTMiLCJ1c2VySWQiOiIyNjM5NDU4ODUifQ==</vt:lpwstr>
  </property>
  <property fmtid="{D5CDD505-2E9C-101B-9397-08002B2CF9AE}" pid="5" name="KSOProductBuildVer">
    <vt:lpwstr>2052-12.1.0.22215</vt:lpwstr>
  </property>
  <property fmtid="{D5CDD505-2E9C-101B-9397-08002B2CF9AE}" pid="6" name="ICV">
    <vt:lpwstr>CA1A3BE3109045DAB7F28FDA975A02AC_13</vt:lpwstr>
  </property>
</Properties>
</file>